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3FB3D8" w14:textId="17B08117" w:rsidR="00014776" w:rsidRPr="00B562A4" w:rsidRDefault="00014776" w:rsidP="00014776">
      <w:pPr>
        <w:rPr>
          <w:rFonts w:ascii="Cambria" w:eastAsia="Times New Roman" w:hAnsi="Cambria"/>
          <w:lang w:eastAsia="sl-SI"/>
          <w14:ligatures w14:val="none"/>
        </w:rPr>
      </w:pPr>
      <w:bookmarkStart w:id="0" w:name="_MailOriginal"/>
      <w:r w:rsidRPr="00B562A4">
        <w:rPr>
          <w:rFonts w:ascii="Cambria" w:eastAsia="Times New Roman" w:hAnsi="Cambria"/>
          <w:b/>
          <w:bCs/>
          <w:lang w:eastAsia="sl-SI"/>
          <w14:ligatures w14:val="none"/>
        </w:rPr>
        <w:t>From:</w:t>
      </w:r>
      <w:r w:rsidRPr="00B562A4">
        <w:rPr>
          <w:rFonts w:ascii="Cambria" w:eastAsia="Times New Roman" w:hAnsi="Cambria"/>
          <w:lang w:eastAsia="sl-SI"/>
          <w14:ligatures w14:val="none"/>
        </w:rPr>
        <w:t xml:space="preserve"> MARTINA LIPNIK &lt;martina.lipnik@siol.net&gt; </w:t>
      </w:r>
      <w:r w:rsidRPr="00B562A4">
        <w:rPr>
          <w:rFonts w:ascii="Cambria" w:eastAsia="Times New Roman" w:hAnsi="Cambria"/>
          <w:lang w:eastAsia="sl-SI"/>
          <w14:ligatures w14:val="none"/>
        </w:rPr>
        <w:br/>
      </w:r>
      <w:r w:rsidRPr="00B562A4">
        <w:rPr>
          <w:rFonts w:ascii="Cambria" w:eastAsia="Times New Roman" w:hAnsi="Cambria"/>
          <w:b/>
          <w:bCs/>
          <w:lang w:eastAsia="sl-SI"/>
          <w14:ligatures w14:val="none"/>
        </w:rPr>
        <w:t>Sent:</w:t>
      </w:r>
      <w:r w:rsidRPr="00B562A4">
        <w:rPr>
          <w:rFonts w:ascii="Cambria" w:eastAsia="Times New Roman" w:hAnsi="Cambria"/>
          <w:lang w:eastAsia="sl-SI"/>
          <w14:ligatures w14:val="none"/>
        </w:rPr>
        <w:t xml:space="preserve"> Monday, August 7, 2023 11:08 AM</w:t>
      </w:r>
      <w:r w:rsidRPr="00B562A4">
        <w:rPr>
          <w:rFonts w:ascii="Cambria" w:eastAsia="Times New Roman" w:hAnsi="Cambria"/>
          <w:lang w:eastAsia="sl-SI"/>
          <w14:ligatures w14:val="none"/>
        </w:rPr>
        <w:br/>
      </w:r>
      <w:r w:rsidRPr="00B562A4">
        <w:rPr>
          <w:rFonts w:ascii="Cambria" w:eastAsia="Times New Roman" w:hAnsi="Cambria"/>
          <w:b/>
          <w:bCs/>
          <w:lang w:eastAsia="sl-SI"/>
          <w14:ligatures w14:val="none"/>
        </w:rPr>
        <w:t>To:</w:t>
      </w:r>
      <w:r w:rsidRPr="00B562A4">
        <w:rPr>
          <w:rFonts w:ascii="Cambria" w:eastAsia="Times New Roman" w:hAnsi="Cambria"/>
          <w:lang w:eastAsia="sl-SI"/>
          <w14:ligatures w14:val="none"/>
        </w:rPr>
        <w:t xml:space="preserve"> 'dnevnik@rtvslo.si'; 'jadranka</w:t>
      </w:r>
      <w:r w:rsidR="00B562A4" w:rsidRPr="00B562A4">
        <w:rPr>
          <w:rFonts w:ascii="Cambria" w:eastAsia="Times New Roman" w:hAnsi="Cambria"/>
          <w:lang w:eastAsia="sl-SI"/>
          <w14:ligatures w14:val="none"/>
        </w:rPr>
        <w:t xml:space="preserve"> </w:t>
      </w:r>
      <w:r w:rsidRPr="00B562A4">
        <w:rPr>
          <w:rFonts w:ascii="Cambria" w:eastAsia="Times New Roman" w:hAnsi="Cambria"/>
          <w:lang w:eastAsia="sl-SI"/>
          <w14:ligatures w14:val="none"/>
        </w:rPr>
        <w:t>rebernik; 'sa</w:t>
      </w:r>
      <w:r w:rsidR="00B562A4" w:rsidRPr="00B562A4">
        <w:rPr>
          <w:rFonts w:ascii="Cambria" w:eastAsia="Times New Roman" w:hAnsi="Cambria"/>
          <w:lang w:eastAsia="sl-SI"/>
          <w14:ligatures w14:val="none"/>
        </w:rPr>
        <w:t>š</w:t>
      </w:r>
      <w:r w:rsidRPr="00B562A4">
        <w:rPr>
          <w:rFonts w:ascii="Cambria" w:eastAsia="Times New Roman" w:hAnsi="Cambria"/>
          <w:lang w:eastAsia="sl-SI"/>
          <w14:ligatures w14:val="none"/>
        </w:rPr>
        <w:t>a</w:t>
      </w:r>
      <w:r w:rsidR="00B562A4" w:rsidRPr="00B562A4">
        <w:rPr>
          <w:rFonts w:ascii="Cambria" w:eastAsia="Times New Roman" w:hAnsi="Cambria"/>
          <w:lang w:eastAsia="sl-SI"/>
          <w14:ligatures w14:val="none"/>
        </w:rPr>
        <w:t xml:space="preserve"> </w:t>
      </w:r>
      <w:r w:rsidRPr="00B562A4">
        <w:rPr>
          <w:rFonts w:ascii="Cambria" w:eastAsia="Times New Roman" w:hAnsi="Cambria"/>
          <w:lang w:eastAsia="sl-SI"/>
          <w14:ligatures w14:val="none"/>
        </w:rPr>
        <w:t xml:space="preserve">krajnc'; 'Bergant Igor' </w:t>
      </w:r>
      <w:r w:rsidRPr="00B562A4">
        <w:rPr>
          <w:rFonts w:ascii="Cambria" w:eastAsia="Times New Roman" w:hAnsi="Cambria"/>
          <w:lang w:eastAsia="sl-SI"/>
          <w14:ligatures w14:val="none"/>
        </w:rPr>
        <w:br/>
      </w:r>
      <w:r w:rsidRPr="00B562A4">
        <w:rPr>
          <w:rFonts w:ascii="Cambria" w:eastAsia="Times New Roman" w:hAnsi="Cambria"/>
          <w:b/>
          <w:bCs/>
          <w:lang w:eastAsia="sl-SI"/>
          <w14:ligatures w14:val="none"/>
        </w:rPr>
        <w:t>Subject:</w:t>
      </w:r>
      <w:r w:rsidRPr="00B562A4">
        <w:rPr>
          <w:rFonts w:ascii="Cambria" w:eastAsia="Times New Roman" w:hAnsi="Cambria"/>
          <w:lang w:eastAsia="sl-SI"/>
          <w14:ligatures w14:val="none"/>
        </w:rPr>
        <w:t xml:space="preserve"> TV Dnevnik_Odmevi_poplave</w:t>
      </w:r>
      <w:r w:rsidRPr="00B562A4">
        <w:rPr>
          <w:rFonts w:ascii="Cambria" w:eastAsia="Times New Roman" w:hAnsi="Cambria"/>
          <w:lang w:eastAsia="sl-SI"/>
          <w14:ligatures w14:val="none"/>
        </w:rPr>
        <w:br/>
      </w:r>
      <w:r w:rsidRPr="00B562A4">
        <w:rPr>
          <w:rFonts w:ascii="Cambria" w:eastAsia="Times New Roman" w:hAnsi="Cambria"/>
          <w:b/>
          <w:bCs/>
          <w:lang w:eastAsia="sl-SI"/>
          <w14:ligatures w14:val="none"/>
        </w:rPr>
        <w:t>Importance:</w:t>
      </w:r>
      <w:r w:rsidRPr="00B562A4">
        <w:rPr>
          <w:rFonts w:ascii="Cambria" w:eastAsia="Times New Roman" w:hAnsi="Cambria"/>
          <w:lang w:eastAsia="sl-SI"/>
          <w14:ligatures w14:val="none"/>
        </w:rPr>
        <w:t xml:space="preserve"> High</w:t>
      </w:r>
    </w:p>
    <w:p w14:paraId="45E320BD" w14:textId="77777777" w:rsidR="00014776" w:rsidRPr="00B562A4" w:rsidRDefault="00014776" w:rsidP="00014776">
      <w:pPr>
        <w:rPr>
          <w:rFonts w:ascii="Cambria" w:hAnsi="Cambria"/>
        </w:rPr>
      </w:pPr>
    </w:p>
    <w:p w14:paraId="356BC023" w14:textId="77777777" w:rsidR="00014776" w:rsidRPr="00B562A4" w:rsidRDefault="00014776" w:rsidP="00014776">
      <w:pPr>
        <w:rPr>
          <w:rFonts w:ascii="Cambria" w:hAnsi="Cambria"/>
        </w:rPr>
      </w:pPr>
      <w:r w:rsidRPr="00B562A4">
        <w:rPr>
          <w:rFonts w:ascii="Cambria" w:hAnsi="Cambria"/>
        </w:rPr>
        <w:t>Spoštovani,</w:t>
      </w:r>
    </w:p>
    <w:p w14:paraId="01B6D184" w14:textId="77777777" w:rsidR="00014776" w:rsidRPr="00B562A4" w:rsidRDefault="00014776" w:rsidP="00014776">
      <w:pPr>
        <w:rPr>
          <w:rFonts w:ascii="Cambria" w:hAnsi="Cambria"/>
        </w:rPr>
      </w:pPr>
      <w:r w:rsidRPr="00B562A4">
        <w:rPr>
          <w:rFonts w:ascii="Cambria" w:hAnsi="Cambria"/>
        </w:rPr>
        <w:t>Novice iz Slovenije o katastrofalnem dogajanju ob poplavah so zelo intenzivne in sporočilne. Grozota, kaj se je zgodilo.</w:t>
      </w:r>
    </w:p>
    <w:p w14:paraId="5D905D6A" w14:textId="77777777" w:rsidR="00014776" w:rsidRPr="00B562A4" w:rsidRDefault="00014776" w:rsidP="00014776">
      <w:pPr>
        <w:rPr>
          <w:rFonts w:ascii="Cambria" w:hAnsi="Cambria"/>
        </w:rPr>
      </w:pPr>
      <w:r w:rsidRPr="00B562A4">
        <w:rPr>
          <w:rFonts w:ascii="Cambria" w:hAnsi="Cambria"/>
        </w:rPr>
        <w:t>Pri vseh poročilih pa pogrešam odsotnost podatkov o »poplavnih prognozah« v Sloveniji.</w:t>
      </w:r>
    </w:p>
    <w:p w14:paraId="065C88A6" w14:textId="77777777" w:rsidR="00014776" w:rsidRPr="00B562A4" w:rsidRDefault="00014776" w:rsidP="00014776">
      <w:pPr>
        <w:rPr>
          <w:rFonts w:ascii="Cambria" w:hAnsi="Cambria"/>
        </w:rPr>
      </w:pPr>
      <w:r w:rsidRPr="00B562A4">
        <w:rPr>
          <w:rFonts w:ascii="Cambria" w:hAnsi="Cambria"/>
        </w:rPr>
        <w:t xml:space="preserve">V </w:t>
      </w:r>
      <w:r w:rsidRPr="00B562A4">
        <w:rPr>
          <w:rFonts w:ascii="Cambria" w:hAnsi="Cambria"/>
          <w:b/>
          <w:bCs/>
        </w:rPr>
        <w:t>Atlasu okolja, poglavje o vodah in o poplavah</w:t>
      </w:r>
      <w:r w:rsidRPr="00B562A4">
        <w:rPr>
          <w:rFonts w:ascii="Cambria" w:hAnsi="Cambria"/>
        </w:rPr>
        <w:t>, je večinoma prikazano, kakšne poplave se na katerih mestih lahko pričakujejo – skrajni domet so prikazi za 100letne in 500letne poplavne vode.</w:t>
      </w:r>
    </w:p>
    <w:p w14:paraId="26F30A52" w14:textId="77777777" w:rsidR="00014776" w:rsidRPr="00B562A4" w:rsidRDefault="00014776" w:rsidP="00014776">
      <w:pPr>
        <w:rPr>
          <w:rFonts w:ascii="Cambria" w:hAnsi="Cambria"/>
        </w:rPr>
      </w:pPr>
      <w:r w:rsidRPr="00B562A4">
        <w:rPr>
          <w:rFonts w:ascii="Cambria" w:hAnsi="Cambria"/>
        </w:rPr>
        <w:t>Menim, da bi bilo treba te karte tudi predstaviti javnosti v javnih poročilih, saj jih očitno nihče kaj prida ne proučuje.</w:t>
      </w:r>
    </w:p>
    <w:p w14:paraId="54DFA03D" w14:textId="77777777" w:rsidR="00014776" w:rsidRPr="00B562A4" w:rsidRDefault="00014776" w:rsidP="00014776">
      <w:pPr>
        <w:rPr>
          <w:rFonts w:ascii="Cambria" w:hAnsi="Cambria"/>
        </w:rPr>
      </w:pPr>
      <w:r w:rsidRPr="00B562A4">
        <w:rPr>
          <w:rFonts w:ascii="Cambria" w:hAnsi="Cambria"/>
        </w:rPr>
        <w:t>V teh kartah je napovedano, kako se v prizadetih krajih vode razlijejo, na vsak način se bo treba pri obnovah v naseljih držati strokovnih podatkov, poznati jih morajo pa tudi ljudje v krajih, da se samo-varujejo.</w:t>
      </w:r>
    </w:p>
    <w:p w14:paraId="221323B2" w14:textId="77777777" w:rsidR="00014776" w:rsidRPr="00B562A4" w:rsidRDefault="00014776" w:rsidP="00014776">
      <w:pPr>
        <w:rPr>
          <w:rFonts w:ascii="Cambria" w:hAnsi="Cambria"/>
        </w:rPr>
      </w:pPr>
      <w:r w:rsidRPr="00B562A4">
        <w:rPr>
          <w:rFonts w:ascii="Cambria" w:hAnsi="Cambria"/>
        </w:rPr>
        <w:t>Podatki dosegljivi na:</w:t>
      </w:r>
    </w:p>
    <w:p w14:paraId="534D2DD8" w14:textId="77777777" w:rsidR="00014776" w:rsidRPr="00B562A4" w:rsidRDefault="00C91A5C" w:rsidP="00014776">
      <w:pPr>
        <w:rPr>
          <w:rFonts w:ascii="Cambria" w:hAnsi="Cambria"/>
        </w:rPr>
      </w:pPr>
      <w:hyperlink r:id="rId5" w:history="1">
        <w:r w:rsidR="00014776" w:rsidRPr="00B562A4">
          <w:rPr>
            <w:rStyle w:val="Hyperlink"/>
            <w:rFonts w:ascii="Cambria" w:hAnsi="Cambria"/>
          </w:rPr>
          <w:t>http://gis.arso.gov.si/atlasokolja/profile.aspx?id=Atlas_Okolja_AXL@Arso</w:t>
        </w:r>
      </w:hyperlink>
    </w:p>
    <w:p w14:paraId="52E48A90" w14:textId="77777777" w:rsidR="00014776" w:rsidRPr="00B562A4" w:rsidRDefault="00014776" w:rsidP="00014776">
      <w:pPr>
        <w:rPr>
          <w:rFonts w:ascii="Cambria" w:hAnsi="Cambria"/>
        </w:rPr>
      </w:pPr>
    </w:p>
    <w:p w14:paraId="24A4A103" w14:textId="77777777" w:rsidR="00014776" w:rsidRPr="00B562A4" w:rsidRDefault="00014776" w:rsidP="00014776">
      <w:pPr>
        <w:rPr>
          <w:rFonts w:ascii="Cambria" w:hAnsi="Cambria"/>
        </w:rPr>
      </w:pPr>
      <w:r w:rsidRPr="00B562A4">
        <w:rPr>
          <w:rFonts w:ascii="Cambria" w:hAnsi="Cambria"/>
        </w:rPr>
        <w:t>Pošiljam izrez iz prikaza za Medvode, za Mengeš, za Črno, za Luče,</w:t>
      </w:r>
    </w:p>
    <w:p w14:paraId="5AC1BCBD" w14:textId="77777777" w:rsidR="00014776" w:rsidRPr="00B562A4" w:rsidRDefault="00014776" w:rsidP="00014776">
      <w:pPr>
        <w:rPr>
          <w:rFonts w:ascii="Cambria" w:hAnsi="Cambria"/>
        </w:rPr>
      </w:pPr>
      <w:r w:rsidRPr="00B562A4">
        <w:rPr>
          <w:rFonts w:ascii="Cambria" w:hAnsi="Cambria"/>
        </w:rPr>
        <w:t xml:space="preserve">V kartah so tudi pomanjkljivosti, saj za nekatere vodotoke karte in prognoze niso izdelane, kot na primer za vodotok Pšata v Mengšu, kjer je zalilo nov vrtec! Opozorilna karta, da se to lahko zgodi, pa ne obstaja, ker je občina ali država nista naročili (čeprav nam jih zapoveduje EU protipoplavna Direktiva (DIREKTIVA 2007/60/ES EVROPSKEGA PARLAMENTA IN SVETA z dne 23. oktobra 2007 o oceni in obvladovanju poplavne ogroženosti): </w:t>
      </w:r>
      <w:hyperlink r:id="rId6" w:history="1">
        <w:r w:rsidRPr="00B562A4">
          <w:rPr>
            <w:rStyle w:val="Hyperlink"/>
            <w:rFonts w:ascii="Cambria" w:hAnsi="Cambria"/>
          </w:rPr>
          <w:t>https://www.google.com/search?q=Direktiva+protipoplavna&amp;oq=Direktiva+protipoplavna&amp;aqs=chrome..69i57j33i160.242585765j0j15&amp;sourceid=chrome&amp;ie=UTF-8</w:t>
        </w:r>
      </w:hyperlink>
    </w:p>
    <w:p w14:paraId="557297E5" w14:textId="77777777" w:rsidR="00014776" w:rsidRPr="00B562A4" w:rsidRDefault="00014776" w:rsidP="00014776">
      <w:pPr>
        <w:rPr>
          <w:rFonts w:ascii="Cambria" w:hAnsi="Cambria"/>
        </w:rPr>
      </w:pPr>
      <w:r w:rsidRPr="00B562A4">
        <w:rPr>
          <w:rFonts w:ascii="Cambria" w:hAnsi="Cambria"/>
        </w:rPr>
        <w:t>O izvajanju direktive je presojalo tudi EU sodišče (vpliva lahko tudi na finančne dotacije za škodo?)</w:t>
      </w:r>
    </w:p>
    <w:p w14:paraId="283A01FC" w14:textId="77777777" w:rsidR="00014776" w:rsidRPr="00B562A4" w:rsidRDefault="00C91A5C" w:rsidP="00014776">
      <w:pPr>
        <w:ind w:left="708"/>
        <w:rPr>
          <w:rFonts w:ascii="Cambria" w:hAnsi="Cambria"/>
        </w:rPr>
      </w:pPr>
      <w:hyperlink r:id="rId7" w:history="1">
        <w:r w:rsidR="00014776" w:rsidRPr="00B562A4">
          <w:rPr>
            <w:rStyle w:val="Hyperlink"/>
            <w:rFonts w:ascii="Cambria" w:hAnsi="Cambria"/>
          </w:rPr>
          <w:t>https://op.europa.eu/webpub/eca/special-reports/floods-directive-25-2018/sl/</w:t>
        </w:r>
      </w:hyperlink>
    </w:p>
    <w:p w14:paraId="546AF990" w14:textId="77777777" w:rsidR="00014776" w:rsidRPr="00B562A4" w:rsidRDefault="00014776" w:rsidP="00014776">
      <w:pPr>
        <w:ind w:left="708"/>
        <w:rPr>
          <w:rFonts w:ascii="Cambria" w:hAnsi="Cambria"/>
        </w:rPr>
      </w:pPr>
    </w:p>
    <w:p w14:paraId="26F4DB10" w14:textId="77777777" w:rsidR="00014776" w:rsidRPr="00B562A4" w:rsidRDefault="00014776" w:rsidP="00B562A4">
      <w:pPr>
        <w:rPr>
          <w:rFonts w:ascii="Cambria" w:hAnsi="Cambria" w:cs="Open Sans"/>
          <w:b/>
          <w:bCs/>
          <w:color w:val="A6B522"/>
          <w:lang w:eastAsia="sl-SI"/>
          <w14:ligatures w14:val="none"/>
        </w:rPr>
      </w:pPr>
      <w:r w:rsidRPr="00B562A4">
        <w:rPr>
          <w:rFonts w:ascii="Cambria" w:hAnsi="Cambria" w:cs="Open Sans"/>
          <w:b/>
          <w:bCs/>
          <w:color w:val="A6B522"/>
          <w:lang w:eastAsia="sl-SI"/>
          <w14:ligatures w14:val="none"/>
        </w:rPr>
        <w:t>Okvir 3</w:t>
      </w:r>
    </w:p>
    <w:p w14:paraId="1A84AECF" w14:textId="77777777" w:rsidR="00014776" w:rsidRPr="00B562A4" w:rsidRDefault="00014776" w:rsidP="00B562A4">
      <w:pPr>
        <w:rPr>
          <w:rFonts w:ascii="Cambria" w:hAnsi="Cambria" w:cs="Open Sans"/>
          <w:b/>
          <w:bCs/>
          <w:color w:val="A6B522"/>
          <w:lang w:eastAsia="sl-SI"/>
          <w14:ligatures w14:val="none"/>
        </w:rPr>
      </w:pPr>
      <w:r w:rsidRPr="00B562A4">
        <w:rPr>
          <w:rFonts w:ascii="Cambria" w:hAnsi="Cambria" w:cs="Open Sans"/>
          <w:b/>
          <w:bCs/>
          <w:color w:val="A6B522"/>
          <w:lang w:eastAsia="sl-SI"/>
          <w14:ligatures w14:val="none"/>
        </w:rPr>
        <w:t>Države članice morajo v skladu z direktivo o poplavah pripraviti:</w:t>
      </w:r>
    </w:p>
    <w:p w14:paraId="6F33054D" w14:textId="77777777" w:rsidR="00014776" w:rsidRPr="00B562A4" w:rsidRDefault="00014776" w:rsidP="00B562A4">
      <w:pPr>
        <w:numPr>
          <w:ilvl w:val="0"/>
          <w:numId w:val="1"/>
        </w:numPr>
        <w:tabs>
          <w:tab w:val="clear" w:pos="720"/>
          <w:tab w:val="num" w:pos="-696"/>
        </w:tabs>
        <w:rPr>
          <w:rFonts w:ascii="Cambria" w:hAnsi="Cambria" w:cs="Open Sans"/>
          <w:color w:val="58585A"/>
          <w:lang w:eastAsia="sl-SI"/>
          <w14:ligatures w14:val="none"/>
        </w:rPr>
      </w:pPr>
      <w:r w:rsidRPr="00B562A4">
        <w:rPr>
          <w:rFonts w:ascii="Cambria" w:hAnsi="Cambria" w:cs="Open Sans"/>
          <w:b/>
          <w:bCs/>
          <w:color w:val="58585A"/>
          <w:lang w:eastAsia="sl-SI"/>
          <w14:ligatures w14:val="none"/>
        </w:rPr>
        <w:t>predhodne ocene poplavne ogroženosti</w:t>
      </w:r>
      <w:r w:rsidRPr="00B562A4">
        <w:rPr>
          <w:rFonts w:ascii="Cambria" w:hAnsi="Cambria" w:cs="Open Sans"/>
          <w:color w:val="58585A"/>
          <w:lang w:eastAsia="sl-SI"/>
          <w14:ligatures w14:val="none"/>
        </w:rPr>
        <w:t>, ki naj bi bile dokončane decembra 2011, opisujejo pa hude poplave, ki so se zgodile v preteklosti, in podobne dogodke, ki bi se lahko zgodili v prihodnosti;</w:t>
      </w:r>
    </w:p>
    <w:p w14:paraId="135F4D77" w14:textId="77777777" w:rsidR="00014776" w:rsidRPr="00B562A4" w:rsidRDefault="00014776" w:rsidP="00B562A4">
      <w:pPr>
        <w:numPr>
          <w:ilvl w:val="0"/>
          <w:numId w:val="1"/>
        </w:numPr>
        <w:tabs>
          <w:tab w:val="clear" w:pos="720"/>
          <w:tab w:val="num" w:pos="-696"/>
        </w:tabs>
        <w:rPr>
          <w:rFonts w:ascii="Cambria" w:hAnsi="Cambria" w:cs="Open Sans"/>
          <w:color w:val="58585A"/>
          <w:lang w:eastAsia="sl-SI"/>
          <w14:ligatures w14:val="none"/>
        </w:rPr>
      </w:pPr>
      <w:r w:rsidRPr="00B562A4">
        <w:rPr>
          <w:rFonts w:ascii="Cambria" w:hAnsi="Cambria" w:cs="Open Sans"/>
          <w:b/>
          <w:bCs/>
          <w:color w:val="58585A"/>
          <w:lang w:eastAsia="sl-SI"/>
          <w14:ligatures w14:val="none"/>
        </w:rPr>
        <w:t>karte poplavne nevarnosti in ogroženosti</w:t>
      </w:r>
      <w:hyperlink r:id="rId8" w:anchor="A29" w:history="1">
        <w:r w:rsidRPr="00B562A4">
          <w:rPr>
            <w:rStyle w:val="Hyperlink"/>
            <w:rFonts w:ascii="Cambria" w:hAnsi="Cambria" w:cs="Open Sans"/>
            <w:color w:val="337AB7"/>
            <w:vertAlign w:val="superscript"/>
          </w:rPr>
          <w:t>29</w:t>
        </w:r>
      </w:hyperlink>
      <w:r w:rsidRPr="00B562A4">
        <w:rPr>
          <w:rFonts w:ascii="Cambria" w:hAnsi="Cambria" w:cs="Open Sans"/>
          <w:color w:val="58585A"/>
          <w:lang w:eastAsia="sl-SI"/>
          <w14:ligatures w14:val="none"/>
        </w:rPr>
        <w:t>, ki naj bi bile dokončane decembra 2013, prikazujejo pa območja, na katerih bi lahko poplave imele škodljive posledice;</w:t>
      </w:r>
    </w:p>
    <w:p w14:paraId="4A2B96B0" w14:textId="77777777" w:rsidR="00014776" w:rsidRPr="00B562A4" w:rsidRDefault="00014776" w:rsidP="00B562A4">
      <w:pPr>
        <w:numPr>
          <w:ilvl w:val="0"/>
          <w:numId w:val="1"/>
        </w:numPr>
        <w:tabs>
          <w:tab w:val="clear" w:pos="720"/>
          <w:tab w:val="num" w:pos="-696"/>
        </w:tabs>
        <w:rPr>
          <w:rFonts w:ascii="Cambria" w:hAnsi="Cambria" w:cs="Open Sans"/>
          <w:color w:val="58585A"/>
          <w:lang w:eastAsia="sl-SI"/>
          <w14:ligatures w14:val="none"/>
        </w:rPr>
      </w:pPr>
      <w:r w:rsidRPr="00B562A4">
        <w:rPr>
          <w:rFonts w:ascii="Cambria" w:hAnsi="Cambria" w:cs="Open Sans"/>
          <w:b/>
          <w:bCs/>
          <w:color w:val="58585A"/>
          <w:lang w:eastAsia="sl-SI"/>
          <w14:ligatures w14:val="none"/>
        </w:rPr>
        <w:t>načrte za obvladovanje poplavne ogroženosti</w:t>
      </w:r>
      <w:r w:rsidRPr="00B562A4">
        <w:rPr>
          <w:rFonts w:ascii="Cambria" w:hAnsi="Cambria" w:cs="Open Sans"/>
          <w:color w:val="58585A"/>
          <w:lang w:eastAsia="sl-SI"/>
          <w14:ligatures w14:val="none"/>
        </w:rPr>
        <w:t>, ki naj bi bili dokončani decembra 2015 in se uporabljajo za obdobje 2016–2021, opredeljujejo pa ukrepe za preprečevanje poplav, zaščito pred njimi in pripravljenost nanje.</w:t>
      </w:r>
    </w:p>
    <w:p w14:paraId="0540AA38" w14:textId="77777777" w:rsidR="00014776" w:rsidRPr="00B562A4" w:rsidRDefault="00014776" w:rsidP="00B562A4">
      <w:pPr>
        <w:pStyle w:val="ListParagraph"/>
        <w:ind w:left="0"/>
        <w:rPr>
          <w:rFonts w:ascii="Cambria" w:hAnsi="Cambria"/>
        </w:rPr>
      </w:pPr>
      <w:r w:rsidRPr="00B562A4">
        <w:rPr>
          <w:rStyle w:val="eca-number-title"/>
          <w:rFonts w:ascii="Cambria" w:hAnsi="Cambria" w:cs="Open Sans"/>
          <w:b/>
          <w:bCs/>
          <w:color w:val="A6B622"/>
          <w:shd w:val="clear" w:color="auto" w:fill="FFFFFF"/>
        </w:rPr>
        <w:t>102</w:t>
      </w:r>
    </w:p>
    <w:p w14:paraId="1CCED660" w14:textId="77777777" w:rsidR="00014776" w:rsidRPr="00B562A4" w:rsidRDefault="00014776" w:rsidP="00B562A4">
      <w:pPr>
        <w:pStyle w:val="NormalWeb"/>
        <w:shd w:val="clear" w:color="auto" w:fill="FFFFFF"/>
        <w:spacing w:before="0" w:beforeAutospacing="0" w:after="0" w:afterAutospacing="0"/>
        <w:rPr>
          <w:rFonts w:ascii="Cambria" w:hAnsi="Cambria" w:cs="Open Sans"/>
          <w:color w:val="58585A"/>
        </w:rPr>
      </w:pPr>
      <w:r w:rsidRPr="00B562A4">
        <w:rPr>
          <w:rFonts w:ascii="Cambria" w:hAnsi="Cambria" w:cs="Open Sans"/>
          <w:color w:val="58585A"/>
        </w:rPr>
        <w:t xml:space="preserve">Cilji v načrtih za obvladovanje </w:t>
      </w:r>
      <w:r w:rsidRPr="00B562A4">
        <w:rPr>
          <w:rFonts w:ascii="Cambria" w:hAnsi="Cambria" w:cs="Open Sans"/>
          <w:color w:val="58585A"/>
          <w:highlight w:val="yellow"/>
        </w:rPr>
        <w:t>poplavne ogroženosti</w:t>
      </w:r>
      <w:r w:rsidRPr="00B562A4">
        <w:rPr>
          <w:rFonts w:ascii="Cambria" w:hAnsi="Cambria" w:cs="Open Sans"/>
          <w:color w:val="58585A"/>
        </w:rPr>
        <w:t xml:space="preserve"> na splošno niso bili niti količinsko opredeljeni niti časovno omejeni. V sedmih obiskanih državah članicah je Sodišče ugotovilo, da so bili v zadevnih načrtih določeni preširoki cilji politike. To je oviralo oceno rezultatov in vzpostavitev okvira odgovornosti za vpletene organe (glej </w:t>
      </w:r>
      <w:hyperlink r:id="rId9" w:anchor="para47" w:history="1">
        <w:r w:rsidRPr="00B562A4">
          <w:rPr>
            <w:rStyle w:val="Hyperlink"/>
            <w:rFonts w:ascii="Cambria" w:hAnsi="Cambria" w:cs="Open Sans"/>
            <w:b/>
            <w:bCs/>
            <w:i/>
            <w:iCs/>
            <w:color w:val="337AB7"/>
          </w:rPr>
          <w:t>odstavke 47</w:t>
        </w:r>
      </w:hyperlink>
      <w:r w:rsidRPr="00B562A4">
        <w:rPr>
          <w:rStyle w:val="Emphasis"/>
          <w:rFonts w:ascii="Cambria" w:hAnsi="Cambria" w:cs="Open Sans"/>
          <w:b/>
          <w:bCs/>
          <w:color w:val="58585A"/>
        </w:rPr>
        <w:t> do </w:t>
      </w:r>
      <w:hyperlink r:id="rId10" w:anchor="para49" w:history="1">
        <w:r w:rsidRPr="00B562A4">
          <w:rPr>
            <w:rStyle w:val="Hyperlink"/>
            <w:rFonts w:ascii="Cambria" w:hAnsi="Cambria" w:cs="Open Sans"/>
            <w:b/>
            <w:bCs/>
            <w:i/>
            <w:iCs/>
            <w:color w:val="337AB7"/>
          </w:rPr>
          <w:t>49</w:t>
        </w:r>
      </w:hyperlink>
      <w:r w:rsidRPr="00B562A4">
        <w:rPr>
          <w:rFonts w:ascii="Cambria" w:hAnsi="Cambria" w:cs="Open Sans"/>
          <w:color w:val="58585A"/>
        </w:rPr>
        <w:t>).</w:t>
      </w:r>
    </w:p>
    <w:p w14:paraId="4602E4E9" w14:textId="77777777" w:rsidR="00014776" w:rsidRPr="00B562A4" w:rsidRDefault="00014776" w:rsidP="00B562A4">
      <w:pPr>
        <w:pStyle w:val="Heading3"/>
        <w:shd w:val="clear" w:color="auto" w:fill="FFFFFF"/>
        <w:spacing w:before="0" w:beforeAutospacing="0" w:after="0" w:afterAutospacing="0"/>
        <w:rPr>
          <w:rFonts w:ascii="Cambria" w:eastAsia="Times New Roman" w:hAnsi="Cambria" w:cs="Open Sans"/>
          <w:color w:val="A6B522"/>
          <w:sz w:val="22"/>
          <w:szCs w:val="22"/>
        </w:rPr>
      </w:pPr>
      <w:r w:rsidRPr="00B562A4">
        <w:rPr>
          <w:rFonts w:ascii="Cambria" w:eastAsia="Times New Roman" w:hAnsi="Cambria" w:cs="Open Sans"/>
          <w:color w:val="A6B522"/>
          <w:sz w:val="22"/>
          <w:szCs w:val="22"/>
        </w:rPr>
        <w:t>Priporočilo 1 – Izboljšanje odgovornosti</w:t>
      </w:r>
    </w:p>
    <w:p w14:paraId="781495C8" w14:textId="77777777" w:rsidR="00014776" w:rsidRPr="00B562A4" w:rsidRDefault="00014776" w:rsidP="00B562A4">
      <w:pPr>
        <w:pStyle w:val="NormalWeb"/>
        <w:shd w:val="clear" w:color="auto" w:fill="FFFFFF"/>
        <w:spacing w:before="0" w:beforeAutospacing="0" w:after="0" w:afterAutospacing="0"/>
        <w:rPr>
          <w:rFonts w:ascii="Cambria" w:hAnsi="Cambria" w:cs="Open Sans"/>
          <w:color w:val="58585A"/>
        </w:rPr>
      </w:pPr>
      <w:r w:rsidRPr="00B562A4">
        <w:rPr>
          <w:rStyle w:val="Strong"/>
          <w:rFonts w:ascii="Cambria" w:hAnsi="Cambria" w:cs="Open Sans"/>
          <w:color w:val="58585A"/>
        </w:rPr>
        <w:t>Komisija</w:t>
      </w:r>
      <w:r w:rsidRPr="00B562A4">
        <w:rPr>
          <w:rFonts w:ascii="Cambria" w:hAnsi="Cambria" w:cs="Open Sans"/>
          <w:color w:val="58585A"/>
        </w:rPr>
        <w:t xml:space="preserve"> naj v okviru svoje nadzorne funkcije v skladu z direktivo o poplavah pri pregledu načrtov za obvladovanje poplavne ogroženosti v drugem ciklusu in poznejših ciklusih preveri, ali so države članice za ukrepe, povezane s poplavami, določile količinsko opredeljive in časovno omejene cilje ter tako omogočile, da se v skladu z direktivo o poplavah oceni napredek pri </w:t>
      </w:r>
      <w:r w:rsidRPr="00B562A4">
        <w:rPr>
          <w:rFonts w:ascii="Cambria" w:hAnsi="Cambria" w:cs="Open Sans"/>
          <w:color w:val="58585A"/>
        </w:rPr>
        <w:lastRenderedPageBreak/>
        <w:t>doseganju teh ciljev. Vsem državam članicam naj posreduje primere dobre prakse v zvezi z določanjem ciljev.</w:t>
      </w:r>
    </w:p>
    <w:p w14:paraId="7DBC32A6" w14:textId="77777777" w:rsidR="00B562A4" w:rsidRDefault="00B562A4" w:rsidP="00B562A4">
      <w:pPr>
        <w:pStyle w:val="NormalWeb"/>
        <w:shd w:val="clear" w:color="auto" w:fill="FFFFFF"/>
        <w:spacing w:before="0" w:beforeAutospacing="0" w:after="0" w:afterAutospacing="0"/>
        <w:rPr>
          <w:rStyle w:val="Strong"/>
          <w:rFonts w:ascii="Cambria" w:hAnsi="Cambria" w:cs="Open Sans"/>
          <w:color w:val="58585A"/>
        </w:rPr>
      </w:pPr>
    </w:p>
    <w:p w14:paraId="48C32360" w14:textId="69550560" w:rsidR="00014776" w:rsidRPr="00B562A4" w:rsidRDefault="00014776" w:rsidP="00B562A4">
      <w:pPr>
        <w:pStyle w:val="NormalWeb"/>
        <w:shd w:val="clear" w:color="auto" w:fill="FFFFFF"/>
        <w:spacing w:before="0" w:beforeAutospacing="0" w:after="0" w:afterAutospacing="0"/>
        <w:rPr>
          <w:rFonts w:ascii="Cambria" w:hAnsi="Cambria" w:cs="Open Sans"/>
          <w:color w:val="58585A"/>
        </w:rPr>
      </w:pPr>
      <w:r w:rsidRPr="00B562A4">
        <w:rPr>
          <w:rStyle w:val="Strong"/>
          <w:rFonts w:ascii="Cambria" w:hAnsi="Cambria" w:cs="Open Sans"/>
          <w:color w:val="58585A"/>
        </w:rPr>
        <w:t>Ciljni rok za izvedbo: marec 2022.</w:t>
      </w:r>
    </w:p>
    <w:p w14:paraId="0130EE53" w14:textId="77777777" w:rsidR="00014776" w:rsidRPr="00B562A4" w:rsidRDefault="00014776" w:rsidP="00B562A4">
      <w:pPr>
        <w:rPr>
          <w:rFonts w:ascii="Cambria" w:hAnsi="Cambria"/>
        </w:rPr>
      </w:pPr>
      <w:r w:rsidRPr="00B562A4">
        <w:rPr>
          <w:rStyle w:val="eca-number-title"/>
          <w:rFonts w:ascii="Cambria" w:hAnsi="Cambria" w:cs="Open Sans"/>
          <w:b/>
          <w:bCs/>
          <w:color w:val="A6B622"/>
          <w:shd w:val="clear" w:color="auto" w:fill="FFFFFF"/>
        </w:rPr>
        <w:t>103</w:t>
      </w:r>
    </w:p>
    <w:p w14:paraId="4D338E77" w14:textId="77777777" w:rsidR="00014776" w:rsidRPr="00B562A4" w:rsidRDefault="00014776" w:rsidP="00B562A4">
      <w:pPr>
        <w:pStyle w:val="NormalWeb"/>
        <w:shd w:val="clear" w:color="auto" w:fill="FFFFFF"/>
        <w:spacing w:before="0" w:beforeAutospacing="0" w:after="0" w:afterAutospacing="0"/>
        <w:rPr>
          <w:rFonts w:ascii="Cambria" w:hAnsi="Cambria" w:cs="Open Sans"/>
          <w:color w:val="58585A"/>
        </w:rPr>
      </w:pPr>
      <w:r w:rsidRPr="00B562A4">
        <w:rPr>
          <w:rFonts w:ascii="Cambria" w:hAnsi="Cambria" w:cs="Open Sans"/>
          <w:color w:val="58585A"/>
        </w:rPr>
        <w:t xml:space="preserve">Sodišče je ugotovilo, da so bili viri financiranja na nacionalni ravni in ravni EU le delno opredeljeni in zagotovljeni, financiranje čezmejnih naložb pa je bilo omejeno. Načrti za obvladovanje </w:t>
      </w:r>
      <w:r w:rsidRPr="00B562A4">
        <w:rPr>
          <w:rFonts w:ascii="Cambria" w:hAnsi="Cambria" w:cs="Open Sans"/>
          <w:color w:val="58585A"/>
          <w:highlight w:val="yellow"/>
        </w:rPr>
        <w:t>poplavne ogroženosti</w:t>
      </w:r>
      <w:r w:rsidRPr="00B562A4">
        <w:rPr>
          <w:rFonts w:ascii="Cambria" w:hAnsi="Cambria" w:cs="Open Sans"/>
          <w:color w:val="58585A"/>
        </w:rPr>
        <w:t xml:space="preserve"> niso programi financiranja, zato kakršen koli naveden znesek ni nujno na voljo. Zaradi takega stanja je negotovost v zvezi s financiranjem ukrepov, povezanih s poplavami, večja (glej </w:t>
      </w:r>
      <w:hyperlink r:id="rId11" w:anchor="para50" w:history="1">
        <w:r w:rsidRPr="00B562A4">
          <w:rPr>
            <w:rStyle w:val="Hyperlink"/>
            <w:rFonts w:ascii="Cambria" w:hAnsi="Cambria" w:cs="Open Sans"/>
            <w:b/>
            <w:bCs/>
            <w:i/>
            <w:iCs/>
            <w:color w:val="337AB7"/>
          </w:rPr>
          <w:t>odstavke 50</w:t>
        </w:r>
      </w:hyperlink>
      <w:r w:rsidRPr="00B562A4">
        <w:rPr>
          <w:rStyle w:val="Emphasis"/>
          <w:rFonts w:ascii="Cambria" w:hAnsi="Cambria" w:cs="Open Sans"/>
          <w:b/>
          <w:bCs/>
          <w:color w:val="58585A"/>
        </w:rPr>
        <w:t> do </w:t>
      </w:r>
      <w:hyperlink r:id="rId12" w:anchor="para56" w:history="1">
        <w:r w:rsidRPr="00B562A4">
          <w:rPr>
            <w:rStyle w:val="Hyperlink"/>
            <w:rFonts w:ascii="Cambria" w:hAnsi="Cambria" w:cs="Open Sans"/>
            <w:b/>
            <w:bCs/>
            <w:i/>
            <w:iCs/>
            <w:color w:val="337AB7"/>
          </w:rPr>
          <w:t>56</w:t>
        </w:r>
      </w:hyperlink>
      <w:r w:rsidRPr="00B562A4">
        <w:rPr>
          <w:rFonts w:ascii="Cambria" w:hAnsi="Cambria" w:cs="Open Sans"/>
          <w:color w:val="58585A"/>
        </w:rPr>
        <w:t>). Financiranje čezmejnih naložb je bilo omejeno (glej </w:t>
      </w:r>
      <w:hyperlink r:id="rId13" w:anchor="para57" w:history="1">
        <w:r w:rsidRPr="00B562A4">
          <w:rPr>
            <w:rStyle w:val="Hyperlink"/>
            <w:rFonts w:ascii="Cambria" w:hAnsi="Cambria" w:cs="Open Sans"/>
            <w:b/>
            <w:bCs/>
            <w:i/>
            <w:iCs/>
            <w:color w:val="337AB7"/>
          </w:rPr>
          <w:t>odstavek 57</w:t>
        </w:r>
      </w:hyperlink>
      <w:r w:rsidRPr="00B562A4">
        <w:rPr>
          <w:rFonts w:ascii="Cambria" w:hAnsi="Cambria" w:cs="Open Sans"/>
          <w:color w:val="58585A"/>
        </w:rPr>
        <w:t>).</w:t>
      </w:r>
    </w:p>
    <w:p w14:paraId="4DED3A6E" w14:textId="77777777" w:rsidR="00014776" w:rsidRPr="00B562A4" w:rsidRDefault="00014776" w:rsidP="00B562A4">
      <w:pPr>
        <w:pStyle w:val="NormalWeb"/>
        <w:shd w:val="clear" w:color="auto" w:fill="FFFFFF"/>
        <w:spacing w:before="0" w:beforeAutospacing="0" w:after="288" w:afterAutospacing="0" w:line="336" w:lineRule="atLeast"/>
        <w:rPr>
          <w:rFonts w:ascii="Cambria" w:hAnsi="Cambria" w:cs="Open Sans"/>
          <w:b/>
          <w:bCs/>
          <w:color w:val="FF0000"/>
          <w:vertAlign w:val="superscript"/>
        </w:rPr>
      </w:pPr>
      <w:r w:rsidRPr="00B562A4">
        <w:rPr>
          <w:rFonts w:ascii="Cambria" w:hAnsi="Cambria" w:cs="Open Sans"/>
          <w:color w:val="58585A"/>
        </w:rPr>
        <w:t xml:space="preserve">Itd. </w:t>
      </w:r>
      <w:r w:rsidRPr="00B562A4">
        <w:rPr>
          <w:rFonts w:ascii="Cambria" w:hAnsi="Cambria" w:cs="Open Sans"/>
          <w:b/>
          <w:bCs/>
          <w:color w:val="FF0000"/>
          <w:highlight w:val="yellow"/>
          <w:vertAlign w:val="superscript"/>
        </w:rPr>
        <w:t>*</w:t>
      </w:r>
    </w:p>
    <w:p w14:paraId="20E7730B" w14:textId="77777777" w:rsidR="00014776" w:rsidRPr="00B562A4" w:rsidRDefault="00014776" w:rsidP="00B562A4">
      <w:pPr>
        <w:shd w:val="clear" w:color="auto" w:fill="FFFFFF"/>
        <w:ind w:left="2"/>
        <w:rPr>
          <w:rFonts w:ascii="Cambria" w:hAnsi="Cambria" w:cs="Open Sans"/>
          <w:b/>
          <w:bCs/>
          <w:color w:val="016937"/>
          <w:lang w:eastAsia="sl-SI"/>
          <w14:ligatures w14:val="none"/>
        </w:rPr>
      </w:pPr>
      <w:r w:rsidRPr="00B562A4">
        <w:rPr>
          <w:rFonts w:ascii="Cambria" w:hAnsi="Cambria" w:cs="Open Sans"/>
          <w:b/>
          <w:bCs/>
          <w:color w:val="016937"/>
          <w:lang w:eastAsia="sl-SI"/>
          <w14:ligatures w14:val="none"/>
        </w:rPr>
        <w:t>Odgovori Komisije</w:t>
      </w:r>
    </w:p>
    <w:p w14:paraId="6A3521BE" w14:textId="77777777" w:rsidR="00014776" w:rsidRPr="00B562A4" w:rsidRDefault="00014776" w:rsidP="00B562A4">
      <w:pPr>
        <w:shd w:val="clear" w:color="auto" w:fill="FFFFFF"/>
        <w:ind w:left="2"/>
        <w:rPr>
          <w:rFonts w:ascii="Cambria" w:hAnsi="Cambria" w:cs="Open Sans"/>
          <w:b/>
          <w:bCs/>
          <w:color w:val="016937"/>
          <w:lang w:eastAsia="sl-SI"/>
          <w14:ligatures w14:val="none"/>
        </w:rPr>
      </w:pPr>
      <w:r w:rsidRPr="00B562A4">
        <w:rPr>
          <w:rFonts w:ascii="Cambria" w:hAnsi="Cambria" w:cs="Open Sans"/>
          <w:b/>
          <w:bCs/>
          <w:color w:val="016937"/>
          <w:lang w:eastAsia="sl-SI"/>
          <w14:ligatures w14:val="none"/>
        </w:rPr>
        <w:t>Povzetek</w:t>
      </w:r>
    </w:p>
    <w:p w14:paraId="135C716F" w14:textId="77777777" w:rsidR="00014776" w:rsidRPr="00B562A4" w:rsidRDefault="00014776" w:rsidP="00B562A4">
      <w:pPr>
        <w:ind w:left="2"/>
        <w:rPr>
          <w:rFonts w:ascii="Cambria" w:hAnsi="Cambria"/>
          <w:lang w:eastAsia="sl-SI"/>
          <w14:ligatures w14:val="none"/>
        </w:rPr>
      </w:pPr>
      <w:r w:rsidRPr="00B562A4">
        <w:rPr>
          <w:rFonts w:ascii="Cambria" w:hAnsi="Cambria" w:cs="Open Sans"/>
          <w:b/>
          <w:bCs/>
          <w:color w:val="A6B622"/>
          <w:shd w:val="clear" w:color="auto" w:fill="FFFFFF"/>
          <w:lang w:eastAsia="sl-SI"/>
          <w14:ligatures w14:val="none"/>
        </w:rPr>
        <w:t>V</w:t>
      </w:r>
    </w:p>
    <w:p w14:paraId="5C786905" w14:textId="77777777" w:rsidR="00014776" w:rsidRPr="00B562A4" w:rsidRDefault="00014776" w:rsidP="00B562A4">
      <w:pPr>
        <w:shd w:val="clear" w:color="auto" w:fill="FFFFFF"/>
        <w:ind w:left="2"/>
        <w:rPr>
          <w:rFonts w:ascii="Cambria" w:hAnsi="Cambria" w:cs="Open Sans"/>
          <w:color w:val="58585A"/>
          <w:lang w:eastAsia="sl-SI"/>
          <w14:ligatures w14:val="none"/>
        </w:rPr>
      </w:pPr>
      <w:r w:rsidRPr="00B562A4">
        <w:rPr>
          <w:rFonts w:ascii="Cambria" w:hAnsi="Cambria" w:cs="Open Sans"/>
          <w:color w:val="58585A"/>
          <w:lang w:eastAsia="sl-SI"/>
          <w14:ligatures w14:val="none"/>
        </w:rPr>
        <w:t>Države članice so odgovorne za opredelitev in zagotovitev virov financiranja. Mogoče je dobiti podporo EU za povezane projekte, vključno s čezmejnimi projekti (s programom evropskega teritorialnega sodelovanja (Interreg) so bile financirane različne naložbe za preprečevanje poplav ter tudi za pripravo in odzivanje nanje), a imajo zaradi omejenega proračuna EU tudi države članice pomembno vlogo. Dejavnosti, povezane z makroregionalnimi strategijami</w:t>
      </w:r>
      <w:hyperlink r:id="rId14" w:anchor="A-1" w:history="1">
        <w:r w:rsidRPr="00B562A4">
          <w:rPr>
            <w:rStyle w:val="Hyperlink"/>
            <w:rFonts w:ascii="Cambria" w:hAnsi="Cambria" w:cs="Open Sans"/>
            <w:color w:val="337AB7"/>
            <w:vertAlign w:val="superscript"/>
          </w:rPr>
          <w:t>1</w:t>
        </w:r>
      </w:hyperlink>
      <w:r w:rsidRPr="00B562A4">
        <w:rPr>
          <w:rFonts w:ascii="Cambria" w:hAnsi="Cambria" w:cs="Open Sans"/>
          <w:color w:val="58585A"/>
          <w:lang w:eastAsia="sl-SI"/>
          <w14:ligatures w14:val="none"/>
        </w:rPr>
        <w:t>, kot je Strategija EU za Podonavje (EUSDR), s sprejetjem nadnacionalnega pristopa pripomorejo k oblikovanju nacionalnih dejavnosti, npr. v primeru nacionalnih programov za preprečevanje naravnih nesreč v več državah.</w:t>
      </w:r>
    </w:p>
    <w:p w14:paraId="1261B96A" w14:textId="77777777" w:rsidR="00014776" w:rsidRPr="00B562A4" w:rsidRDefault="00014776" w:rsidP="00B562A4">
      <w:pPr>
        <w:ind w:left="2"/>
        <w:rPr>
          <w:rFonts w:ascii="Cambria" w:hAnsi="Cambria"/>
          <w:lang w:eastAsia="sl-SI"/>
          <w14:ligatures w14:val="none"/>
        </w:rPr>
      </w:pPr>
      <w:r w:rsidRPr="00B562A4">
        <w:rPr>
          <w:rFonts w:ascii="Cambria" w:hAnsi="Cambria" w:cs="Open Sans"/>
          <w:b/>
          <w:bCs/>
          <w:color w:val="A6B622"/>
          <w:shd w:val="clear" w:color="auto" w:fill="FFFFFF"/>
          <w:lang w:eastAsia="sl-SI"/>
          <w14:ligatures w14:val="none"/>
        </w:rPr>
        <w:t>VI</w:t>
      </w:r>
    </w:p>
    <w:p w14:paraId="4A12CDC1" w14:textId="77777777" w:rsidR="00014776" w:rsidRPr="00B562A4" w:rsidRDefault="00014776" w:rsidP="00B562A4">
      <w:pPr>
        <w:shd w:val="clear" w:color="auto" w:fill="FFFFFF"/>
        <w:ind w:left="2"/>
        <w:rPr>
          <w:rFonts w:ascii="Cambria" w:hAnsi="Cambria" w:cs="Open Sans"/>
          <w:color w:val="58585A"/>
          <w:lang w:eastAsia="sl-SI"/>
          <w14:ligatures w14:val="none"/>
        </w:rPr>
      </w:pPr>
      <w:r w:rsidRPr="00B562A4">
        <w:rPr>
          <w:rFonts w:ascii="Cambria" w:hAnsi="Cambria" w:cs="Open Sans"/>
          <w:color w:val="58585A"/>
          <w:lang w:eastAsia="sl-SI"/>
          <w14:ligatures w14:val="none"/>
        </w:rPr>
        <w:t>Komisija je za obdobje 2021–2027 predlagala, da bi morali organi upravljanja programov kohezijske politike „zagotoviti, da izbrane operacije predstavljajo najboljše razmerje med količino podpore, izvajanimi dejavnostmi in doseganjem ciljev“. Učinkovito orodje za izvedbo te zahteve je lahko izvedba analize stroškov in koristi.</w:t>
      </w:r>
    </w:p>
    <w:p w14:paraId="4E6C526F" w14:textId="77777777" w:rsidR="00014776" w:rsidRPr="00B562A4" w:rsidRDefault="00014776" w:rsidP="00B562A4">
      <w:pPr>
        <w:shd w:val="clear" w:color="auto" w:fill="FFFFFF"/>
        <w:ind w:left="2"/>
        <w:rPr>
          <w:rFonts w:ascii="Cambria" w:hAnsi="Cambria" w:cs="Open Sans"/>
          <w:color w:val="58585A"/>
          <w:lang w:eastAsia="sl-SI"/>
          <w14:ligatures w14:val="none"/>
        </w:rPr>
      </w:pPr>
      <w:r w:rsidRPr="00B562A4">
        <w:rPr>
          <w:rFonts w:ascii="Cambria" w:hAnsi="Cambria" w:cs="Open Sans"/>
          <w:color w:val="58585A"/>
          <w:lang w:eastAsia="sl-SI"/>
          <w14:ligatures w14:val="none"/>
        </w:rPr>
        <w:t>Komisija bo še naprej spodbujala in podpirala uporabo uveljavljene metodologije za analizo stroškov in koristi.</w:t>
      </w:r>
    </w:p>
    <w:p w14:paraId="2CA346B0" w14:textId="77777777" w:rsidR="00014776" w:rsidRPr="00B562A4" w:rsidRDefault="00014776" w:rsidP="00B562A4">
      <w:pPr>
        <w:shd w:val="clear" w:color="auto" w:fill="FFFFFF"/>
        <w:ind w:left="2"/>
        <w:rPr>
          <w:rFonts w:ascii="Cambria" w:hAnsi="Cambria" w:cs="Open Sans"/>
          <w:color w:val="58585A"/>
          <w:lang w:eastAsia="sl-SI"/>
          <w14:ligatures w14:val="none"/>
        </w:rPr>
      </w:pPr>
      <w:r w:rsidRPr="00B562A4">
        <w:rPr>
          <w:rFonts w:ascii="Cambria" w:hAnsi="Cambria" w:cs="Open Sans"/>
          <w:color w:val="58585A"/>
          <w:lang w:eastAsia="sl-SI"/>
          <w14:ligatures w14:val="none"/>
        </w:rPr>
        <w:t>Analiza stroškov in koristi je v programskem obdobju 2014–2020 obvezna za naložbe, ki se financirajo iz Evropskega sklada za regionalni razvoj (v nadaljnjem besedilu: ESRR) ali Kohezijskega sklada ter so veliki projekti v smislu člena 100 uredbe o skupnih določbah (CPR)</w:t>
      </w:r>
      <w:hyperlink r:id="rId15" w:anchor="A-2" w:history="1">
        <w:r w:rsidRPr="00B562A4">
          <w:rPr>
            <w:rStyle w:val="Hyperlink"/>
            <w:rFonts w:ascii="Cambria" w:hAnsi="Cambria" w:cs="Open Sans"/>
            <w:color w:val="337AB7"/>
            <w:vertAlign w:val="superscript"/>
          </w:rPr>
          <w:t>2</w:t>
        </w:r>
      </w:hyperlink>
      <w:r w:rsidRPr="00B562A4">
        <w:rPr>
          <w:rFonts w:ascii="Cambria" w:hAnsi="Cambria" w:cs="Open Sans"/>
          <w:color w:val="58585A"/>
          <w:lang w:eastAsia="sl-SI"/>
          <w14:ligatures w14:val="none"/>
        </w:rPr>
        <w:t>. Poleg tega je Komisija decembra 2014 izdala priročnik za izdelavo analize stroškov in koristi za programsko obdobje 2014–2020 kot orodje za ekonomsko oceno kohezijske politike za obdobje 2014−2020.</w:t>
      </w:r>
    </w:p>
    <w:p w14:paraId="0EDBAA07" w14:textId="77777777" w:rsidR="00014776" w:rsidRPr="00B562A4" w:rsidRDefault="00014776" w:rsidP="00B562A4">
      <w:pPr>
        <w:shd w:val="clear" w:color="auto" w:fill="FFFFFF"/>
        <w:ind w:left="2"/>
        <w:rPr>
          <w:rFonts w:ascii="Cambria" w:hAnsi="Cambria" w:cs="Open Sans"/>
          <w:color w:val="58585A"/>
          <w:lang w:eastAsia="sl-SI"/>
          <w14:ligatures w14:val="none"/>
        </w:rPr>
      </w:pPr>
      <w:r w:rsidRPr="00B562A4">
        <w:rPr>
          <w:rFonts w:ascii="Cambria" w:hAnsi="Cambria" w:cs="Open Sans"/>
          <w:b/>
          <w:bCs/>
          <w:color w:val="58585A"/>
          <w:u w:val="single"/>
          <w:lang w:eastAsia="sl-SI"/>
          <w14:ligatures w14:val="none"/>
        </w:rPr>
        <w:t>V členu 7 direktive o poplavah se omenjajo prostorsko načrtovanje, raba tal, zadrževanje vode, naravna poplavna območja in nadzorovano poplavljanje nekaterih območij</w:t>
      </w:r>
      <w:r w:rsidRPr="00B562A4">
        <w:rPr>
          <w:rFonts w:ascii="Cambria" w:hAnsi="Cambria" w:cs="Open Sans"/>
          <w:color w:val="58585A"/>
          <w:lang w:eastAsia="sl-SI"/>
          <w14:ligatures w14:val="none"/>
        </w:rPr>
        <w:t xml:space="preserve">, kar je vse pomembno </w:t>
      </w:r>
      <w:r w:rsidRPr="00B562A4">
        <w:rPr>
          <w:rFonts w:ascii="Cambria" w:hAnsi="Cambria" w:cs="Open Sans"/>
          <w:b/>
          <w:bCs/>
          <w:color w:val="58585A"/>
          <w:u w:val="single"/>
          <w:lang w:eastAsia="sl-SI"/>
          <w14:ligatures w14:val="none"/>
        </w:rPr>
        <w:t>za spodbujanje zelene</w:t>
      </w:r>
      <w:r w:rsidRPr="00B562A4">
        <w:rPr>
          <w:rFonts w:ascii="Cambria" w:hAnsi="Cambria" w:cs="Open Sans"/>
          <w:color w:val="58585A"/>
          <w:lang w:eastAsia="sl-SI"/>
          <w14:ligatures w14:val="none"/>
        </w:rPr>
        <w:t xml:space="preserve"> in ne sive </w:t>
      </w:r>
      <w:r w:rsidRPr="00B562A4">
        <w:rPr>
          <w:rFonts w:ascii="Cambria" w:hAnsi="Cambria" w:cs="Open Sans"/>
          <w:b/>
          <w:bCs/>
          <w:color w:val="58585A"/>
          <w:u w:val="single"/>
          <w:lang w:eastAsia="sl-SI"/>
          <w14:ligatures w14:val="none"/>
        </w:rPr>
        <w:t>infrastrukture</w:t>
      </w:r>
      <w:r w:rsidRPr="00B562A4">
        <w:rPr>
          <w:rFonts w:ascii="Cambria" w:hAnsi="Cambria" w:cs="Open Sans"/>
          <w:color w:val="58585A"/>
          <w:lang w:eastAsia="sl-SI"/>
          <w14:ligatures w14:val="none"/>
        </w:rPr>
        <w:t>, a se v pravnih določbah o evropskih strukturnih in investicijskih skladih (v nadaljnjem besedilu: skladi ESI), direktivi o poplavah in okvirni direktivi o vodah ne zahteva obvezna uporaba zelene infrastrukture.</w:t>
      </w:r>
    </w:p>
    <w:p w14:paraId="1C168B16" w14:textId="77777777" w:rsidR="00014776" w:rsidRPr="00B562A4" w:rsidRDefault="00014776" w:rsidP="00B562A4">
      <w:pPr>
        <w:pStyle w:val="NormalWeb"/>
        <w:shd w:val="clear" w:color="auto" w:fill="FFFFFF"/>
        <w:spacing w:before="0" w:beforeAutospacing="0" w:after="288" w:afterAutospacing="0" w:line="336" w:lineRule="atLeast"/>
        <w:rPr>
          <w:rFonts w:ascii="Cambria" w:hAnsi="Cambria" w:cs="Open Sans"/>
          <w:color w:val="58585A"/>
        </w:rPr>
      </w:pPr>
      <w:r w:rsidRPr="00B562A4">
        <w:rPr>
          <w:rFonts w:ascii="Cambria" w:hAnsi="Cambria" w:cs="Open Sans"/>
          <w:color w:val="58585A"/>
        </w:rPr>
        <w:t>Itd.</w:t>
      </w:r>
    </w:p>
    <w:p w14:paraId="27E29BD7" w14:textId="77777777" w:rsidR="00014776" w:rsidRPr="00B562A4" w:rsidRDefault="00014776" w:rsidP="00014776">
      <w:pPr>
        <w:rPr>
          <w:rFonts w:ascii="Cambria" w:hAnsi="Cambria"/>
        </w:rPr>
      </w:pPr>
    </w:p>
    <w:p w14:paraId="3B816092" w14:textId="77777777" w:rsidR="00014776" w:rsidRPr="00B562A4" w:rsidRDefault="00014776" w:rsidP="00014776">
      <w:pPr>
        <w:rPr>
          <w:rFonts w:ascii="Cambria" w:hAnsi="Cambria"/>
        </w:rPr>
      </w:pPr>
      <w:r w:rsidRPr="00B562A4">
        <w:rPr>
          <w:rFonts w:ascii="Cambria" w:hAnsi="Cambria"/>
          <w:b/>
          <w:bCs/>
        </w:rPr>
        <w:t>Primer Medvode</w:t>
      </w:r>
      <w:r w:rsidRPr="00B562A4">
        <w:rPr>
          <w:rFonts w:ascii="Cambria" w:hAnsi="Cambria"/>
        </w:rPr>
        <w:t xml:space="preserve"> – karta 100letnih in 500letnih vod</w:t>
      </w:r>
    </w:p>
    <w:p w14:paraId="6D62963B" w14:textId="487E792D" w:rsidR="00014776" w:rsidRPr="00B562A4" w:rsidRDefault="00014776" w:rsidP="00014776">
      <w:pPr>
        <w:rPr>
          <w:rFonts w:ascii="Cambria" w:hAnsi="Cambria"/>
        </w:rPr>
      </w:pPr>
      <w:r w:rsidRPr="00B562A4">
        <w:rPr>
          <w:rFonts w:ascii="Cambria" w:hAnsi="Cambria"/>
          <w:noProof/>
          <w14:ligatures w14:val="none"/>
        </w:rPr>
        <w:lastRenderedPageBreak/>
        <w:drawing>
          <wp:inline distT="0" distB="0" distL="0" distR="0" wp14:anchorId="267155A5" wp14:editId="3DEB499D">
            <wp:extent cx="4365454" cy="3349349"/>
            <wp:effectExtent l="0" t="0" r="0" b="3810"/>
            <wp:docPr id="1580022459"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76048" cy="3357477"/>
                    </a:xfrm>
                    <a:prstGeom prst="rect">
                      <a:avLst/>
                    </a:prstGeom>
                    <a:noFill/>
                    <a:ln>
                      <a:noFill/>
                    </a:ln>
                  </pic:spPr>
                </pic:pic>
              </a:graphicData>
            </a:graphic>
          </wp:inline>
        </w:drawing>
      </w:r>
      <w:r w:rsidRPr="00B562A4">
        <w:rPr>
          <w:rFonts w:ascii="Cambria" w:hAnsi="Cambria"/>
        </w:rPr>
        <w:t xml:space="preserve">  </w:t>
      </w:r>
      <w:r w:rsidRPr="00B562A4">
        <w:rPr>
          <w:rFonts w:ascii="Cambria" w:hAnsi="Cambria"/>
          <w:noProof/>
          <w14:ligatures w14:val="none"/>
        </w:rPr>
        <w:drawing>
          <wp:inline distT="0" distB="0" distL="0" distR="0" wp14:anchorId="64EF5EE6" wp14:editId="6D931381">
            <wp:extent cx="4430407" cy="3399183"/>
            <wp:effectExtent l="0" t="0" r="8255" b="0"/>
            <wp:docPr id="1923762195"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37885" cy="3404920"/>
                    </a:xfrm>
                    <a:prstGeom prst="rect">
                      <a:avLst/>
                    </a:prstGeom>
                    <a:noFill/>
                    <a:ln>
                      <a:noFill/>
                    </a:ln>
                  </pic:spPr>
                </pic:pic>
              </a:graphicData>
            </a:graphic>
          </wp:inline>
        </w:drawing>
      </w:r>
    </w:p>
    <w:p w14:paraId="7A2A436D" w14:textId="77777777" w:rsidR="00014776" w:rsidRPr="00B562A4" w:rsidRDefault="00014776" w:rsidP="00014776">
      <w:pPr>
        <w:rPr>
          <w:rFonts w:ascii="Cambria" w:hAnsi="Cambria"/>
        </w:rPr>
      </w:pPr>
    </w:p>
    <w:p w14:paraId="42699F50" w14:textId="0D79A5C2" w:rsidR="00014776" w:rsidRPr="00B562A4" w:rsidRDefault="00014776" w:rsidP="00014776">
      <w:pPr>
        <w:rPr>
          <w:rFonts w:ascii="Cambria" w:hAnsi="Cambria"/>
        </w:rPr>
      </w:pPr>
      <w:r w:rsidRPr="00B562A4">
        <w:rPr>
          <w:rFonts w:ascii="Cambria" w:hAnsi="Cambria"/>
          <w:noProof/>
          <w14:ligatures w14:val="none"/>
        </w:rPr>
        <w:lastRenderedPageBreak/>
        <w:drawing>
          <wp:inline distT="0" distB="0" distL="0" distR="0" wp14:anchorId="4E189417" wp14:editId="32EB71CD">
            <wp:extent cx="5357495" cy="4114800"/>
            <wp:effectExtent l="0" t="0" r="0" b="0"/>
            <wp:docPr id="1709495083"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57495" cy="4114800"/>
                    </a:xfrm>
                    <a:prstGeom prst="rect">
                      <a:avLst/>
                    </a:prstGeom>
                    <a:noFill/>
                    <a:ln>
                      <a:noFill/>
                    </a:ln>
                  </pic:spPr>
                </pic:pic>
              </a:graphicData>
            </a:graphic>
          </wp:inline>
        </w:drawing>
      </w:r>
    </w:p>
    <w:p w14:paraId="69119D7F" w14:textId="77777777" w:rsidR="00014776" w:rsidRPr="00B562A4" w:rsidRDefault="00014776" w:rsidP="00014776">
      <w:pPr>
        <w:rPr>
          <w:rFonts w:ascii="Cambria" w:hAnsi="Cambria"/>
        </w:rPr>
      </w:pPr>
    </w:p>
    <w:p w14:paraId="63D3FE61" w14:textId="77777777" w:rsidR="00014776" w:rsidRPr="00B562A4" w:rsidRDefault="00014776" w:rsidP="00014776">
      <w:pPr>
        <w:rPr>
          <w:rFonts w:ascii="Cambria" w:hAnsi="Cambria"/>
        </w:rPr>
      </w:pPr>
      <w:r w:rsidRPr="00B562A4">
        <w:rPr>
          <w:rFonts w:ascii="Cambria" w:hAnsi="Cambria"/>
          <w:b/>
          <w:bCs/>
        </w:rPr>
        <w:t>Medvode</w:t>
      </w:r>
      <w:r w:rsidRPr="00B562A4">
        <w:rPr>
          <w:rFonts w:ascii="Cambria" w:hAnsi="Cambria"/>
        </w:rPr>
        <w:t xml:space="preserve"> – resnična povodenj avgust 2023 še večja od prognoze za 500letne vode</w:t>
      </w:r>
    </w:p>
    <w:p w14:paraId="56D2C8FF" w14:textId="40603373" w:rsidR="00014776" w:rsidRPr="00B562A4" w:rsidRDefault="00014776" w:rsidP="00014776">
      <w:pPr>
        <w:rPr>
          <w:rFonts w:ascii="Cambria" w:hAnsi="Cambria"/>
        </w:rPr>
      </w:pPr>
      <w:r w:rsidRPr="00B562A4">
        <w:rPr>
          <w:rFonts w:ascii="Cambria" w:hAnsi="Cambria"/>
          <w:noProof/>
          <w14:ligatures w14:val="none"/>
        </w:rPr>
        <w:drawing>
          <wp:inline distT="0" distB="0" distL="0" distR="0" wp14:anchorId="1FF61DD5" wp14:editId="24C54E79">
            <wp:extent cx="5764530" cy="3836670"/>
            <wp:effectExtent l="0" t="0" r="7620" b="0"/>
            <wp:docPr id="2054288430" name="Slika 21" descr="#foto V Medvodah ponekod nepopisno razdejanje, poškodovani mostovi in ce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foto V Medvodah ponekod nepopisno razdejanje, poškodovani mostovi in ces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4530" cy="3836670"/>
                    </a:xfrm>
                    <a:prstGeom prst="rect">
                      <a:avLst/>
                    </a:prstGeom>
                    <a:noFill/>
                    <a:ln>
                      <a:noFill/>
                    </a:ln>
                  </pic:spPr>
                </pic:pic>
              </a:graphicData>
            </a:graphic>
          </wp:inline>
        </w:drawing>
      </w:r>
    </w:p>
    <w:p w14:paraId="6F75BED8" w14:textId="77777777" w:rsidR="00014776" w:rsidRPr="00B562A4" w:rsidRDefault="00014776" w:rsidP="00014776">
      <w:pPr>
        <w:rPr>
          <w:rFonts w:ascii="Cambria" w:hAnsi="Cambria"/>
        </w:rPr>
      </w:pPr>
    </w:p>
    <w:p w14:paraId="13274701" w14:textId="77777777" w:rsidR="00014776" w:rsidRPr="00B562A4" w:rsidRDefault="00014776" w:rsidP="00E7314D">
      <w:pPr>
        <w:keepNext/>
        <w:widowControl w:val="0"/>
        <w:rPr>
          <w:rFonts w:ascii="Cambria" w:hAnsi="Cambria"/>
        </w:rPr>
      </w:pPr>
      <w:r w:rsidRPr="00B562A4">
        <w:rPr>
          <w:rFonts w:ascii="Cambria" w:hAnsi="Cambria"/>
          <w:b/>
          <w:bCs/>
        </w:rPr>
        <w:lastRenderedPageBreak/>
        <w:t xml:space="preserve">Mengeš </w:t>
      </w:r>
      <w:r w:rsidRPr="00B562A4">
        <w:rPr>
          <w:rFonts w:ascii="Cambria" w:hAnsi="Cambria"/>
        </w:rPr>
        <w:t>– lokacija vrtca Gobica</w:t>
      </w:r>
    </w:p>
    <w:p w14:paraId="64DB9F71" w14:textId="21712E03" w:rsidR="00014776" w:rsidRPr="00B562A4" w:rsidRDefault="00014776" w:rsidP="00014776">
      <w:pPr>
        <w:rPr>
          <w:rFonts w:ascii="Cambria" w:hAnsi="Cambria"/>
        </w:rPr>
      </w:pPr>
      <w:r w:rsidRPr="00B562A4">
        <w:rPr>
          <w:rFonts w:ascii="Cambria" w:hAnsi="Cambria"/>
          <w:noProof/>
          <w14:ligatures w14:val="none"/>
        </w:rPr>
        <w:drawing>
          <wp:inline distT="0" distB="0" distL="0" distR="0" wp14:anchorId="3FE3484D" wp14:editId="79E4C9B9">
            <wp:extent cx="4896764" cy="3756991"/>
            <wp:effectExtent l="0" t="0" r="0" b="0"/>
            <wp:docPr id="1222365017"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00978" cy="3760224"/>
                    </a:xfrm>
                    <a:prstGeom prst="rect">
                      <a:avLst/>
                    </a:prstGeom>
                    <a:noFill/>
                    <a:ln>
                      <a:noFill/>
                    </a:ln>
                  </pic:spPr>
                </pic:pic>
              </a:graphicData>
            </a:graphic>
          </wp:inline>
        </w:drawing>
      </w:r>
    </w:p>
    <w:p w14:paraId="5880A716" w14:textId="77777777" w:rsidR="00014776" w:rsidRPr="00B562A4" w:rsidRDefault="00014776" w:rsidP="00014776">
      <w:pPr>
        <w:rPr>
          <w:rFonts w:ascii="Cambria" w:hAnsi="Cambria"/>
        </w:rPr>
      </w:pPr>
    </w:p>
    <w:p w14:paraId="5A96EC8E" w14:textId="37F01765" w:rsidR="00014776" w:rsidRDefault="00014776" w:rsidP="00014776">
      <w:pPr>
        <w:rPr>
          <w:rFonts w:ascii="Cambria" w:hAnsi="Cambria"/>
          <w:b/>
          <w:bCs/>
        </w:rPr>
      </w:pPr>
      <w:r w:rsidRPr="00B562A4">
        <w:rPr>
          <w:rFonts w:ascii="Cambria" w:hAnsi="Cambria"/>
          <w:b/>
          <w:bCs/>
        </w:rPr>
        <w:t xml:space="preserve">Mengeš </w:t>
      </w:r>
      <w:r w:rsidRPr="00B562A4">
        <w:rPr>
          <w:rFonts w:ascii="Cambria" w:hAnsi="Cambria"/>
        </w:rPr>
        <w:t>– karta 100letnih in 500letnih poplavnih vod (</w:t>
      </w:r>
      <w:r w:rsidRPr="00B562A4">
        <w:rPr>
          <w:rFonts w:ascii="Cambria" w:hAnsi="Cambria"/>
          <w:b/>
          <w:bCs/>
        </w:rPr>
        <w:t>vodotok Pšata ni obravnavan! – novogradnje niso načrtovane glede na možne poplave!, v nevarnosti celo življenja)</w:t>
      </w:r>
    </w:p>
    <w:p w14:paraId="10BE58BC" w14:textId="77777777" w:rsidR="00B562A4" w:rsidRPr="00B562A4" w:rsidRDefault="00B562A4" w:rsidP="00014776">
      <w:pPr>
        <w:rPr>
          <w:rFonts w:ascii="Cambria" w:hAnsi="Cambria"/>
        </w:rPr>
      </w:pPr>
    </w:p>
    <w:p w14:paraId="6AFDDD33" w14:textId="57F9A4E2" w:rsidR="00014776" w:rsidRPr="00B562A4" w:rsidRDefault="00014776" w:rsidP="00014776">
      <w:pPr>
        <w:rPr>
          <w:rFonts w:ascii="Cambria" w:hAnsi="Cambria"/>
        </w:rPr>
      </w:pPr>
      <w:r w:rsidRPr="00B562A4">
        <w:rPr>
          <w:rFonts w:ascii="Cambria" w:hAnsi="Cambria"/>
          <w:noProof/>
          <w14:ligatures w14:val="none"/>
        </w:rPr>
        <w:drawing>
          <wp:inline distT="0" distB="0" distL="0" distR="0" wp14:anchorId="0D59763C" wp14:editId="2FBF4653">
            <wp:extent cx="5476240" cy="4214495"/>
            <wp:effectExtent l="0" t="0" r="0" b="0"/>
            <wp:docPr id="1632697341"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76240" cy="4214495"/>
                    </a:xfrm>
                    <a:prstGeom prst="rect">
                      <a:avLst/>
                    </a:prstGeom>
                    <a:noFill/>
                    <a:ln>
                      <a:noFill/>
                    </a:ln>
                  </pic:spPr>
                </pic:pic>
              </a:graphicData>
            </a:graphic>
          </wp:inline>
        </w:drawing>
      </w:r>
    </w:p>
    <w:p w14:paraId="281BD0A9" w14:textId="77777777" w:rsidR="00014776" w:rsidRPr="00B562A4" w:rsidRDefault="00014776" w:rsidP="00014776">
      <w:pPr>
        <w:rPr>
          <w:rFonts w:ascii="Cambria" w:hAnsi="Cambria"/>
        </w:rPr>
      </w:pPr>
    </w:p>
    <w:p w14:paraId="4E20A2DC" w14:textId="77777777" w:rsidR="00014776" w:rsidRPr="00B562A4" w:rsidRDefault="00014776" w:rsidP="00014776">
      <w:pPr>
        <w:rPr>
          <w:rFonts w:ascii="Cambria" w:hAnsi="Cambria"/>
        </w:rPr>
      </w:pPr>
      <w:r w:rsidRPr="00B562A4">
        <w:rPr>
          <w:rFonts w:ascii="Cambria" w:hAnsi="Cambria"/>
          <w:b/>
          <w:bCs/>
        </w:rPr>
        <w:t>Mengeš</w:t>
      </w:r>
      <w:r w:rsidRPr="00B562A4">
        <w:rPr>
          <w:rFonts w:ascii="Cambria" w:hAnsi="Cambria"/>
        </w:rPr>
        <w:t xml:space="preserve"> – resnična poplava avgust 2023</w:t>
      </w:r>
    </w:p>
    <w:p w14:paraId="5514A5FE" w14:textId="278F9187" w:rsidR="00014776" w:rsidRPr="00B562A4" w:rsidRDefault="00014776" w:rsidP="00014776">
      <w:pPr>
        <w:rPr>
          <w:rFonts w:ascii="Cambria" w:hAnsi="Cambria"/>
        </w:rPr>
      </w:pPr>
      <w:r w:rsidRPr="00B562A4">
        <w:rPr>
          <w:rFonts w:ascii="Cambria" w:hAnsi="Cambria"/>
          <w:noProof/>
          <w14:ligatures w14:val="none"/>
        </w:rPr>
        <w:drawing>
          <wp:inline distT="0" distB="0" distL="0" distR="0" wp14:anchorId="3C19A17B" wp14:editId="04A32BDC">
            <wp:extent cx="4487427" cy="2514600"/>
            <wp:effectExtent l="0" t="0" r="8890" b="0"/>
            <wp:docPr id="227906208" name="Slika 18" descr="V vsej tej grozi tudi novica s srečnim koncem: gasilci iz vrtca v Mengšu uspešno evakuirali 22 otrok (fotografije, ob katerih zaboli srce) (foto: Facebook/Prostovoljno gasilsko društvo Menge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V vsej tej grozi tudi novica s srečnim koncem: gasilci iz vrtca v Mengšu uspešno evakuirali 22 otrok (fotografije, ob katerih zaboli srce) (foto: Facebook/Prostovoljno gasilsko društvo Mengeš)"/>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97721" cy="2520369"/>
                    </a:xfrm>
                    <a:prstGeom prst="rect">
                      <a:avLst/>
                    </a:prstGeom>
                    <a:noFill/>
                    <a:ln>
                      <a:noFill/>
                    </a:ln>
                  </pic:spPr>
                </pic:pic>
              </a:graphicData>
            </a:graphic>
          </wp:inline>
        </w:drawing>
      </w:r>
    </w:p>
    <w:p w14:paraId="1430D379" w14:textId="77777777" w:rsidR="00014776" w:rsidRPr="00B562A4" w:rsidRDefault="00014776" w:rsidP="00014776">
      <w:pPr>
        <w:rPr>
          <w:rFonts w:ascii="Cambria" w:hAnsi="Cambria"/>
        </w:rPr>
      </w:pPr>
    </w:p>
    <w:p w14:paraId="302D8666" w14:textId="715ECC02" w:rsidR="00014776" w:rsidRDefault="00014776" w:rsidP="00014776">
      <w:pPr>
        <w:rPr>
          <w:rFonts w:ascii="Cambria" w:hAnsi="Cambria"/>
          <w:b/>
          <w:bCs/>
        </w:rPr>
      </w:pPr>
      <w:r w:rsidRPr="00B562A4">
        <w:rPr>
          <w:rFonts w:ascii="Cambria" w:hAnsi="Cambria"/>
          <w:b/>
          <w:bCs/>
          <w:highlight w:val="yellow"/>
        </w:rPr>
        <w:t>Koroška in poplavne karte - karta 100letnih in 500letnih poplavnih vod (ker gre za ozke doline in hudourniške vode je ogroženost na poplavnih površinah velika)</w:t>
      </w:r>
    </w:p>
    <w:p w14:paraId="5CC54CE7" w14:textId="77777777" w:rsidR="00B562A4" w:rsidRPr="00B562A4" w:rsidRDefault="00B562A4" w:rsidP="00014776">
      <w:pPr>
        <w:rPr>
          <w:rFonts w:ascii="Cambria" w:hAnsi="Cambria"/>
          <w:b/>
          <w:bCs/>
        </w:rPr>
      </w:pPr>
    </w:p>
    <w:p w14:paraId="5D89CECB" w14:textId="09E1E064" w:rsidR="00014776" w:rsidRPr="00B562A4" w:rsidRDefault="00014776" w:rsidP="00014776">
      <w:pPr>
        <w:rPr>
          <w:rFonts w:ascii="Cambria" w:hAnsi="Cambria"/>
        </w:rPr>
      </w:pPr>
      <w:r w:rsidRPr="00B562A4">
        <w:rPr>
          <w:rFonts w:ascii="Cambria" w:hAnsi="Cambria"/>
          <w:noProof/>
          <w14:ligatures w14:val="none"/>
        </w:rPr>
        <w:drawing>
          <wp:inline distT="0" distB="0" distL="0" distR="0" wp14:anchorId="3E54C2AD" wp14:editId="2FEB9681">
            <wp:extent cx="5819543" cy="4472609"/>
            <wp:effectExtent l="0" t="0" r="0" b="4445"/>
            <wp:docPr id="226501526"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46282" cy="4493159"/>
                    </a:xfrm>
                    <a:prstGeom prst="rect">
                      <a:avLst/>
                    </a:prstGeom>
                    <a:noFill/>
                    <a:ln>
                      <a:noFill/>
                    </a:ln>
                  </pic:spPr>
                </pic:pic>
              </a:graphicData>
            </a:graphic>
          </wp:inline>
        </w:drawing>
      </w:r>
    </w:p>
    <w:p w14:paraId="0ACF367D" w14:textId="77777777" w:rsidR="00014776" w:rsidRPr="00B562A4" w:rsidRDefault="00014776" w:rsidP="00014776">
      <w:pPr>
        <w:rPr>
          <w:rFonts w:ascii="Cambria" w:hAnsi="Cambria"/>
        </w:rPr>
      </w:pPr>
    </w:p>
    <w:p w14:paraId="4001D281" w14:textId="77777777" w:rsidR="00B562A4" w:rsidRDefault="00014776" w:rsidP="00014776">
      <w:pPr>
        <w:rPr>
          <w:rFonts w:ascii="Cambria" w:hAnsi="Cambria"/>
        </w:rPr>
      </w:pPr>
      <w:r w:rsidRPr="00B562A4">
        <w:rPr>
          <w:rFonts w:ascii="Cambria" w:hAnsi="Cambria"/>
          <w:b/>
          <w:bCs/>
        </w:rPr>
        <w:t xml:space="preserve">Črna na koroškem - </w:t>
      </w:r>
      <w:r w:rsidRPr="00B562A4">
        <w:rPr>
          <w:rFonts w:ascii="Cambria" w:hAnsi="Cambria"/>
        </w:rPr>
        <w:t>karta 100letnih in 500letnih poplavnih vod</w:t>
      </w:r>
    </w:p>
    <w:p w14:paraId="61777265" w14:textId="18243494" w:rsidR="00014776" w:rsidRPr="00B562A4" w:rsidRDefault="00014776" w:rsidP="00014776">
      <w:pPr>
        <w:rPr>
          <w:rFonts w:ascii="Cambria" w:hAnsi="Cambria"/>
        </w:rPr>
      </w:pPr>
      <w:r w:rsidRPr="00B562A4">
        <w:rPr>
          <w:rFonts w:ascii="Cambria" w:hAnsi="Cambria"/>
          <w:noProof/>
          <w14:ligatures w14:val="none"/>
        </w:rPr>
        <w:lastRenderedPageBreak/>
        <w:drawing>
          <wp:inline distT="0" distB="0" distL="0" distR="0" wp14:anchorId="54BD3C44" wp14:editId="2C266678">
            <wp:extent cx="4760545" cy="3657600"/>
            <wp:effectExtent l="0" t="0" r="2540" b="0"/>
            <wp:docPr id="897853155"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73050" cy="3667207"/>
                    </a:xfrm>
                    <a:prstGeom prst="rect">
                      <a:avLst/>
                    </a:prstGeom>
                    <a:noFill/>
                    <a:ln>
                      <a:noFill/>
                    </a:ln>
                  </pic:spPr>
                </pic:pic>
              </a:graphicData>
            </a:graphic>
          </wp:inline>
        </w:drawing>
      </w:r>
    </w:p>
    <w:p w14:paraId="3E6C6E53" w14:textId="77777777" w:rsidR="00014776" w:rsidRPr="00B562A4" w:rsidRDefault="00014776" w:rsidP="00014776">
      <w:pPr>
        <w:rPr>
          <w:rFonts w:ascii="Cambria" w:hAnsi="Cambria"/>
        </w:rPr>
      </w:pPr>
    </w:p>
    <w:p w14:paraId="60D133A0" w14:textId="20F5764F" w:rsidR="00014776" w:rsidRDefault="00014776" w:rsidP="00014776">
      <w:pPr>
        <w:rPr>
          <w:rFonts w:ascii="Cambria" w:hAnsi="Cambria"/>
        </w:rPr>
      </w:pPr>
      <w:r w:rsidRPr="00B562A4">
        <w:rPr>
          <w:rFonts w:ascii="Cambria" w:hAnsi="Cambria"/>
          <w:b/>
          <w:bCs/>
        </w:rPr>
        <w:t xml:space="preserve">Luče  - </w:t>
      </w:r>
      <w:r w:rsidRPr="00B562A4">
        <w:rPr>
          <w:rFonts w:ascii="Cambria" w:hAnsi="Cambria"/>
        </w:rPr>
        <w:t>karta 10 letnih, 100letnih in 500letnih poplavnih vod</w:t>
      </w:r>
    </w:p>
    <w:p w14:paraId="03C86734" w14:textId="77777777" w:rsidR="00B562A4" w:rsidRPr="00B562A4" w:rsidRDefault="00B562A4" w:rsidP="00014776">
      <w:pPr>
        <w:rPr>
          <w:rFonts w:ascii="Cambria" w:hAnsi="Cambria"/>
        </w:rPr>
      </w:pPr>
    </w:p>
    <w:p w14:paraId="54B67A48" w14:textId="214D5EA6" w:rsidR="00014776" w:rsidRPr="00B562A4" w:rsidRDefault="00014776" w:rsidP="00014776">
      <w:pPr>
        <w:rPr>
          <w:rFonts w:ascii="Cambria" w:hAnsi="Cambria"/>
        </w:rPr>
      </w:pPr>
      <w:r w:rsidRPr="00B562A4">
        <w:rPr>
          <w:rFonts w:ascii="Cambria" w:hAnsi="Cambria"/>
          <w:noProof/>
          <w14:ligatures w14:val="none"/>
        </w:rPr>
        <w:drawing>
          <wp:inline distT="0" distB="0" distL="0" distR="0" wp14:anchorId="7ABDD93C" wp14:editId="55578024">
            <wp:extent cx="5167238" cy="3975652"/>
            <wp:effectExtent l="0" t="0" r="0" b="6350"/>
            <wp:docPr id="1640008648"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82379" cy="3987302"/>
                    </a:xfrm>
                    <a:prstGeom prst="rect">
                      <a:avLst/>
                    </a:prstGeom>
                    <a:noFill/>
                    <a:ln>
                      <a:noFill/>
                    </a:ln>
                  </pic:spPr>
                </pic:pic>
              </a:graphicData>
            </a:graphic>
          </wp:inline>
        </w:drawing>
      </w:r>
    </w:p>
    <w:p w14:paraId="777E1157" w14:textId="77777777" w:rsidR="00014776" w:rsidRPr="00B562A4" w:rsidRDefault="00014776" w:rsidP="00014776">
      <w:pPr>
        <w:rPr>
          <w:rFonts w:ascii="Cambria" w:hAnsi="Cambria"/>
        </w:rPr>
      </w:pPr>
    </w:p>
    <w:p w14:paraId="3A6C3A1B" w14:textId="77777777" w:rsidR="00014776" w:rsidRPr="00B562A4" w:rsidRDefault="00014776" w:rsidP="00014776">
      <w:pPr>
        <w:rPr>
          <w:rFonts w:ascii="Cambria" w:hAnsi="Cambria"/>
        </w:rPr>
      </w:pPr>
      <w:r w:rsidRPr="00B562A4">
        <w:rPr>
          <w:rFonts w:ascii="Cambria" w:hAnsi="Cambria"/>
        </w:rPr>
        <w:t>Itd.</w:t>
      </w:r>
    </w:p>
    <w:p w14:paraId="2CD753F3" w14:textId="77777777" w:rsidR="00E7314D" w:rsidRPr="00B562A4" w:rsidRDefault="00E7314D" w:rsidP="00014776">
      <w:pPr>
        <w:rPr>
          <w:rFonts w:ascii="Cambria" w:hAnsi="Cambria"/>
        </w:rPr>
      </w:pPr>
    </w:p>
    <w:p w14:paraId="64FDEF41" w14:textId="77777777" w:rsidR="00014776" w:rsidRPr="00B562A4" w:rsidRDefault="00014776" w:rsidP="00014776">
      <w:pPr>
        <w:rPr>
          <w:rFonts w:ascii="Cambria" w:hAnsi="Cambria"/>
        </w:rPr>
      </w:pPr>
    </w:p>
    <w:p w14:paraId="7CD07B75" w14:textId="1615B3FB" w:rsidR="00014776" w:rsidRPr="00B562A4" w:rsidRDefault="00E7314D" w:rsidP="00014776">
      <w:pPr>
        <w:rPr>
          <w:rFonts w:ascii="Cambria" w:hAnsi="Cambria"/>
        </w:rPr>
      </w:pPr>
      <w:r w:rsidRPr="00B562A4">
        <w:rPr>
          <w:rFonts w:ascii="Cambria" w:eastAsia="Times New Roman" w:hAnsi="Cambria"/>
          <w:color w:val="FF0000"/>
          <w:highlight w:val="yellow"/>
        </w:rPr>
        <w:lastRenderedPageBreak/>
        <w:t>*</w:t>
      </w:r>
      <w:r w:rsidRPr="00B562A4">
        <w:rPr>
          <w:rFonts w:ascii="Cambria" w:eastAsia="Times New Roman" w:hAnsi="Cambria" w:cs="Open Sans"/>
          <w:color w:val="016937"/>
          <w:sz w:val="31"/>
          <w:szCs w:val="31"/>
        </w:rPr>
        <w:t>Priloga II</w:t>
      </w:r>
    </w:p>
    <w:p w14:paraId="651D3874" w14:textId="2B996116" w:rsidR="00014776" w:rsidRPr="00B562A4" w:rsidRDefault="00014776" w:rsidP="00E7314D">
      <w:pPr>
        <w:pStyle w:val="Heading3"/>
        <w:keepNext/>
        <w:widowControl w:val="0"/>
        <w:shd w:val="clear" w:color="auto" w:fill="FFFFFF"/>
        <w:spacing w:before="240" w:beforeAutospacing="0" w:after="192" w:afterAutospacing="0"/>
        <w:ind w:left="1418"/>
        <w:rPr>
          <w:rFonts w:ascii="Cambria" w:eastAsia="Times New Roman" w:hAnsi="Cambria" w:cs="Open Sans"/>
          <w:color w:val="016937"/>
          <w:sz w:val="31"/>
          <w:szCs w:val="31"/>
        </w:rPr>
      </w:pPr>
    </w:p>
    <w:tbl>
      <w:tblPr>
        <w:tblpPr w:leftFromText="141" w:rightFromText="141" w:vertAnchor="text" w:horzAnchor="margin" w:tblpY="-566"/>
        <w:tblW w:w="8212" w:type="dxa"/>
        <w:shd w:val="clear" w:color="auto" w:fill="FFFFFF"/>
        <w:tblLayout w:type="fixed"/>
        <w:tblCellMar>
          <w:left w:w="0" w:type="dxa"/>
          <w:right w:w="0" w:type="dxa"/>
        </w:tblCellMar>
        <w:tblLook w:val="04A0" w:firstRow="1" w:lastRow="0" w:firstColumn="1" w:lastColumn="0" w:noHBand="0" w:noVBand="1"/>
      </w:tblPr>
      <w:tblGrid>
        <w:gridCol w:w="4685"/>
        <w:gridCol w:w="3527"/>
      </w:tblGrid>
      <w:tr w:rsidR="006753D1" w:rsidRPr="00B562A4" w14:paraId="68798F0A" w14:textId="77777777" w:rsidTr="00E7314D">
        <w:trPr>
          <w:trHeight w:val="4583"/>
        </w:trPr>
        <w:tc>
          <w:tcPr>
            <w:tcW w:w="4685" w:type="dxa"/>
            <w:tcBorders>
              <w:top w:val="single" w:sz="8" w:space="0" w:color="0E6A39"/>
              <w:left w:val="single" w:sz="8" w:space="0" w:color="0E6A39"/>
              <w:bottom w:val="single" w:sz="8" w:space="0" w:color="0E6A39"/>
              <w:right w:val="single" w:sz="8" w:space="0" w:color="0E6A39"/>
            </w:tcBorders>
            <w:shd w:val="clear" w:color="auto" w:fill="FFFFFF"/>
            <w:tcMar>
              <w:top w:w="75" w:type="dxa"/>
              <w:left w:w="75" w:type="dxa"/>
              <w:bottom w:w="75" w:type="dxa"/>
              <w:right w:w="75" w:type="dxa"/>
            </w:tcMar>
            <w:hideMark/>
          </w:tcPr>
          <w:p w14:paraId="0A59EDDB" w14:textId="77777777" w:rsidR="006753D1" w:rsidRPr="00B562A4" w:rsidRDefault="006753D1" w:rsidP="006753D1">
            <w:pPr>
              <w:rPr>
                <w:rFonts w:ascii="Cambria" w:hAnsi="Cambria" w:cs="Open Sans"/>
                <w:color w:val="58585A"/>
                <w:sz w:val="21"/>
                <w:szCs w:val="21"/>
              </w:rPr>
            </w:pPr>
            <w:r w:rsidRPr="00B562A4">
              <w:rPr>
                <w:rFonts w:ascii="Cambria" w:hAnsi="Cambria" w:cs="Open Sans"/>
                <w:noProof/>
                <w:color w:val="58585A"/>
                <w:sz w:val="21"/>
                <w:szCs w:val="21"/>
                <w14:ligatures w14:val="none"/>
              </w:rPr>
              <w:drawing>
                <wp:inline distT="0" distB="0" distL="0" distR="0" wp14:anchorId="4A953598" wp14:editId="12444553">
                  <wp:extent cx="2867386" cy="2270748"/>
                  <wp:effectExtent l="0" t="0" r="0" b="0"/>
                  <wp:docPr id="1556442990"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90704" cy="2289214"/>
                          </a:xfrm>
                          <a:prstGeom prst="rect">
                            <a:avLst/>
                          </a:prstGeom>
                          <a:noFill/>
                          <a:ln>
                            <a:noFill/>
                          </a:ln>
                        </pic:spPr>
                      </pic:pic>
                    </a:graphicData>
                  </a:graphic>
                </wp:inline>
              </w:drawing>
            </w:r>
            <w:r w:rsidRPr="00B562A4">
              <w:rPr>
                <w:rFonts w:ascii="Cambria" w:hAnsi="Cambria" w:cs="Open Sans"/>
                <w:color w:val="58585A"/>
                <w:sz w:val="21"/>
                <w:szCs w:val="21"/>
              </w:rPr>
              <w:br/>
            </w:r>
            <w:r w:rsidRPr="00B562A4">
              <w:rPr>
                <w:rFonts w:ascii="Cambria" w:hAnsi="Cambria" w:cs="Open Sans"/>
                <w:color w:val="58585A"/>
                <w:sz w:val="21"/>
                <w:szCs w:val="21"/>
              </w:rPr>
              <w:br/>
            </w:r>
            <w:r w:rsidRPr="00B562A4">
              <w:rPr>
                <w:rFonts w:ascii="Cambria" w:hAnsi="Cambria" w:cs="Open Sans"/>
                <w:color w:val="58585A"/>
                <w:sz w:val="18"/>
                <w:szCs w:val="18"/>
              </w:rPr>
              <w:t xml:space="preserve">Karta </w:t>
            </w:r>
            <w:r w:rsidRPr="00B562A4">
              <w:rPr>
                <w:rFonts w:ascii="Cambria" w:hAnsi="Cambria" w:cs="Open Sans"/>
                <w:color w:val="58585A"/>
                <w:sz w:val="18"/>
                <w:szCs w:val="18"/>
                <w:highlight w:val="yellow"/>
              </w:rPr>
              <w:t>poplavne nevarnosti</w:t>
            </w:r>
            <w:r w:rsidRPr="00B562A4">
              <w:rPr>
                <w:rFonts w:ascii="Cambria" w:hAnsi="Cambria" w:cs="Open Sans"/>
                <w:color w:val="58585A"/>
                <w:sz w:val="18"/>
                <w:szCs w:val="18"/>
              </w:rPr>
              <w:t xml:space="preserve"> mesta Vicenza, Italija, v primeru poplavnega dogodka z </w:t>
            </w:r>
            <w:r w:rsidRPr="00B562A4">
              <w:rPr>
                <w:rFonts w:ascii="Cambria" w:hAnsi="Cambria" w:cs="Open Sans"/>
                <w:color w:val="58585A"/>
                <w:sz w:val="18"/>
                <w:szCs w:val="18"/>
                <w:highlight w:val="lightGray"/>
              </w:rPr>
              <w:t>1-odstotno verjetnostjo nastopa</w:t>
            </w:r>
            <w:r w:rsidRPr="00B562A4">
              <w:rPr>
                <w:rFonts w:ascii="Cambria" w:hAnsi="Cambria" w:cs="Open Sans"/>
                <w:color w:val="58585A"/>
                <w:sz w:val="18"/>
                <w:szCs w:val="18"/>
              </w:rPr>
              <w:br/>
            </w:r>
            <w:r w:rsidRPr="00B562A4">
              <w:rPr>
                <w:rStyle w:val="Emphasis"/>
                <w:rFonts w:ascii="Cambria" w:hAnsi="Cambria" w:cs="Open Sans"/>
                <w:color w:val="58585A"/>
                <w:sz w:val="18"/>
                <w:szCs w:val="18"/>
              </w:rPr>
              <w:t>Vir:</w:t>
            </w:r>
            <w:r w:rsidRPr="00B562A4">
              <w:rPr>
                <w:rFonts w:ascii="Cambria" w:hAnsi="Cambria" w:cs="Open Sans"/>
                <w:color w:val="58585A"/>
                <w:sz w:val="18"/>
                <w:szCs w:val="18"/>
              </w:rPr>
              <w:t xml:space="preserve"> Spletne karte, ki jih je objavil Eastern Alps Hydrographical Basin, Italija.</w:t>
            </w:r>
          </w:p>
        </w:tc>
        <w:tc>
          <w:tcPr>
            <w:tcW w:w="3527" w:type="dxa"/>
            <w:tcBorders>
              <w:top w:val="single" w:sz="8" w:space="0" w:color="0E6A39"/>
              <w:left w:val="nil"/>
              <w:bottom w:val="single" w:sz="8" w:space="0" w:color="0E6A39"/>
              <w:right w:val="single" w:sz="8" w:space="0" w:color="0E6A39"/>
            </w:tcBorders>
            <w:shd w:val="clear" w:color="auto" w:fill="FFFFFF"/>
            <w:tcMar>
              <w:top w:w="75" w:type="dxa"/>
              <w:left w:w="75" w:type="dxa"/>
              <w:bottom w:w="75" w:type="dxa"/>
              <w:right w:w="75" w:type="dxa"/>
            </w:tcMar>
            <w:hideMark/>
          </w:tcPr>
          <w:p w14:paraId="3706ABAC" w14:textId="77777777" w:rsidR="006753D1" w:rsidRPr="00B562A4" w:rsidRDefault="006753D1" w:rsidP="006753D1">
            <w:pPr>
              <w:pStyle w:val="NormalWeb"/>
              <w:spacing w:before="0" w:beforeAutospacing="0" w:after="288" w:afterAutospacing="0" w:line="336" w:lineRule="atLeast"/>
              <w:rPr>
                <w:rFonts w:ascii="Cambria" w:hAnsi="Cambria" w:cs="Open Sans"/>
                <w:color w:val="58585A"/>
                <w:sz w:val="18"/>
                <w:szCs w:val="18"/>
              </w:rPr>
            </w:pPr>
            <w:r w:rsidRPr="00B562A4">
              <w:rPr>
                <w:rStyle w:val="Emphasis"/>
                <w:rFonts w:ascii="Cambria" w:hAnsi="Cambria" w:cs="Open Sans"/>
                <w:color w:val="58585A"/>
                <w:sz w:val="18"/>
                <w:szCs w:val="18"/>
              </w:rPr>
              <w:t>Legenda:</w:t>
            </w:r>
            <w:r w:rsidRPr="00B562A4">
              <w:rPr>
                <w:rFonts w:ascii="Cambria" w:hAnsi="Cambria" w:cs="Open Sans"/>
                <w:color w:val="58585A"/>
                <w:sz w:val="18"/>
                <w:szCs w:val="18"/>
              </w:rPr>
              <w:br/>
            </w:r>
            <w:r w:rsidRPr="00B562A4">
              <w:rPr>
                <w:rFonts w:ascii="Cambria" w:hAnsi="Cambria" w:cs="Open Sans"/>
                <w:color w:val="58585A"/>
                <w:sz w:val="18"/>
                <w:szCs w:val="18"/>
              </w:rPr>
              <w:br/>
              <w:t>Razredi višine vode:</w:t>
            </w:r>
          </w:p>
          <w:p w14:paraId="15F4B968" w14:textId="77777777" w:rsidR="006753D1" w:rsidRPr="00B562A4" w:rsidRDefault="006753D1" w:rsidP="006753D1">
            <w:pPr>
              <w:pStyle w:val="NormalWeb"/>
              <w:spacing w:before="0" w:beforeAutospacing="0" w:after="288" w:afterAutospacing="0" w:line="336" w:lineRule="atLeast"/>
              <w:rPr>
                <w:rFonts w:ascii="Cambria" w:hAnsi="Cambria" w:cs="Open Sans"/>
                <w:color w:val="58585A"/>
                <w:sz w:val="21"/>
                <w:szCs w:val="21"/>
              </w:rPr>
            </w:pPr>
            <w:r w:rsidRPr="00B562A4">
              <w:rPr>
                <w:rFonts w:ascii="Cambria" w:hAnsi="Cambria" w:cs="Open Sans"/>
                <w:noProof/>
                <w:color w:val="58585A"/>
                <w:sz w:val="18"/>
                <w:szCs w:val="18"/>
              </w:rPr>
              <w:drawing>
                <wp:inline distT="0" distB="0" distL="0" distR="0" wp14:anchorId="05111566" wp14:editId="7B6E9B47">
                  <wp:extent cx="268605" cy="188595"/>
                  <wp:effectExtent l="0" t="0" r="0" b="1905"/>
                  <wp:docPr id="1833767998"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8605" cy="188595"/>
                          </a:xfrm>
                          <a:prstGeom prst="rect">
                            <a:avLst/>
                          </a:prstGeom>
                          <a:noFill/>
                          <a:ln>
                            <a:noFill/>
                          </a:ln>
                        </pic:spPr>
                      </pic:pic>
                    </a:graphicData>
                  </a:graphic>
                </wp:inline>
              </w:drawing>
            </w:r>
            <w:r w:rsidRPr="00B562A4">
              <w:rPr>
                <w:rFonts w:ascii="Cambria" w:hAnsi="Cambria" w:cs="Open Sans"/>
                <w:color w:val="58585A"/>
                <w:sz w:val="18"/>
                <w:szCs w:val="18"/>
              </w:rPr>
              <w:t>  0–0,5 m</w:t>
            </w:r>
            <w:r w:rsidRPr="00B562A4">
              <w:rPr>
                <w:rFonts w:ascii="Cambria" w:hAnsi="Cambria" w:cs="Open Sans"/>
                <w:color w:val="58585A"/>
                <w:sz w:val="18"/>
                <w:szCs w:val="18"/>
              </w:rPr>
              <w:br/>
            </w:r>
            <w:r w:rsidRPr="00B562A4">
              <w:rPr>
                <w:rFonts w:ascii="Cambria" w:hAnsi="Cambria" w:cs="Open Sans"/>
                <w:noProof/>
                <w:color w:val="58585A"/>
                <w:sz w:val="18"/>
                <w:szCs w:val="18"/>
              </w:rPr>
              <w:drawing>
                <wp:inline distT="0" distB="0" distL="0" distR="0" wp14:anchorId="5D47FFF5" wp14:editId="2E333BF0">
                  <wp:extent cx="278130" cy="208915"/>
                  <wp:effectExtent l="0" t="0" r="7620" b="635"/>
                  <wp:docPr id="257872379"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8130" cy="208915"/>
                          </a:xfrm>
                          <a:prstGeom prst="rect">
                            <a:avLst/>
                          </a:prstGeom>
                          <a:noFill/>
                          <a:ln>
                            <a:noFill/>
                          </a:ln>
                        </pic:spPr>
                      </pic:pic>
                    </a:graphicData>
                  </a:graphic>
                </wp:inline>
              </w:drawing>
            </w:r>
            <w:r w:rsidRPr="00B562A4">
              <w:rPr>
                <w:rFonts w:ascii="Cambria" w:hAnsi="Cambria" w:cs="Open Sans"/>
                <w:color w:val="58585A"/>
                <w:sz w:val="18"/>
                <w:szCs w:val="18"/>
              </w:rPr>
              <w:t>  0,5–1 m</w:t>
            </w:r>
            <w:r w:rsidRPr="00B562A4">
              <w:rPr>
                <w:rFonts w:ascii="Cambria" w:hAnsi="Cambria" w:cs="Open Sans"/>
                <w:color w:val="58585A"/>
                <w:sz w:val="18"/>
                <w:szCs w:val="18"/>
              </w:rPr>
              <w:br/>
            </w:r>
            <w:r w:rsidRPr="00B562A4">
              <w:rPr>
                <w:rFonts w:ascii="Cambria" w:hAnsi="Cambria" w:cs="Open Sans"/>
                <w:noProof/>
                <w:color w:val="58585A"/>
                <w:sz w:val="18"/>
                <w:szCs w:val="18"/>
              </w:rPr>
              <w:drawing>
                <wp:inline distT="0" distB="0" distL="0" distR="0" wp14:anchorId="7E8F292B" wp14:editId="552B65A9">
                  <wp:extent cx="278130" cy="208915"/>
                  <wp:effectExtent l="0" t="0" r="7620" b="635"/>
                  <wp:docPr id="2067827259"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8130" cy="208915"/>
                          </a:xfrm>
                          <a:prstGeom prst="rect">
                            <a:avLst/>
                          </a:prstGeom>
                          <a:noFill/>
                          <a:ln>
                            <a:noFill/>
                          </a:ln>
                        </pic:spPr>
                      </pic:pic>
                    </a:graphicData>
                  </a:graphic>
                </wp:inline>
              </w:drawing>
            </w:r>
            <w:r w:rsidRPr="00B562A4">
              <w:rPr>
                <w:rFonts w:ascii="Cambria" w:hAnsi="Cambria" w:cs="Open Sans"/>
                <w:color w:val="58585A"/>
                <w:sz w:val="18"/>
                <w:szCs w:val="18"/>
              </w:rPr>
              <w:t>  1–2 m</w:t>
            </w:r>
            <w:r w:rsidRPr="00B562A4">
              <w:rPr>
                <w:rFonts w:ascii="Cambria" w:hAnsi="Cambria" w:cs="Open Sans"/>
                <w:color w:val="58585A"/>
                <w:sz w:val="18"/>
                <w:szCs w:val="18"/>
              </w:rPr>
              <w:br/>
            </w:r>
            <w:r w:rsidRPr="00B562A4">
              <w:rPr>
                <w:rFonts w:ascii="Cambria" w:hAnsi="Cambria" w:cs="Open Sans"/>
                <w:noProof/>
                <w:color w:val="58585A"/>
                <w:sz w:val="18"/>
                <w:szCs w:val="18"/>
              </w:rPr>
              <w:drawing>
                <wp:inline distT="0" distB="0" distL="0" distR="0" wp14:anchorId="7CE7D4CA" wp14:editId="64DB45C3">
                  <wp:extent cx="278130" cy="208915"/>
                  <wp:effectExtent l="0" t="0" r="7620" b="635"/>
                  <wp:docPr id="547094619"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8130" cy="208915"/>
                          </a:xfrm>
                          <a:prstGeom prst="rect">
                            <a:avLst/>
                          </a:prstGeom>
                          <a:noFill/>
                          <a:ln>
                            <a:noFill/>
                          </a:ln>
                        </pic:spPr>
                      </pic:pic>
                    </a:graphicData>
                  </a:graphic>
                </wp:inline>
              </w:drawing>
            </w:r>
            <w:r w:rsidRPr="00B562A4">
              <w:rPr>
                <w:rFonts w:ascii="Cambria" w:hAnsi="Cambria" w:cs="Open Sans"/>
                <w:color w:val="58585A"/>
                <w:sz w:val="18"/>
                <w:szCs w:val="18"/>
              </w:rPr>
              <w:t>  &gt; 2 m</w:t>
            </w:r>
          </w:p>
        </w:tc>
      </w:tr>
      <w:tr w:rsidR="006753D1" w:rsidRPr="00B562A4" w14:paraId="78B81F49" w14:textId="77777777" w:rsidTr="00E7314D">
        <w:trPr>
          <w:trHeight w:val="6393"/>
        </w:trPr>
        <w:tc>
          <w:tcPr>
            <w:tcW w:w="4685" w:type="dxa"/>
            <w:tcBorders>
              <w:top w:val="nil"/>
              <w:left w:val="single" w:sz="8" w:space="0" w:color="0E6A39"/>
              <w:bottom w:val="single" w:sz="8" w:space="0" w:color="0E6A39"/>
              <w:right w:val="single" w:sz="8" w:space="0" w:color="0E6A39"/>
            </w:tcBorders>
            <w:shd w:val="clear" w:color="auto" w:fill="FFFFFF"/>
            <w:tcMar>
              <w:top w:w="75" w:type="dxa"/>
              <w:left w:w="75" w:type="dxa"/>
              <w:bottom w:w="75" w:type="dxa"/>
              <w:right w:w="75" w:type="dxa"/>
            </w:tcMar>
            <w:hideMark/>
          </w:tcPr>
          <w:p w14:paraId="1A715EAF" w14:textId="77777777" w:rsidR="006753D1" w:rsidRPr="00B562A4" w:rsidRDefault="006753D1" w:rsidP="006753D1">
            <w:pPr>
              <w:rPr>
                <w:rFonts w:ascii="Cambria" w:hAnsi="Cambria" w:cs="Open Sans"/>
                <w:color w:val="58585A"/>
                <w:sz w:val="21"/>
                <w:szCs w:val="21"/>
              </w:rPr>
            </w:pPr>
            <w:r w:rsidRPr="00B562A4">
              <w:rPr>
                <w:rFonts w:ascii="Cambria" w:hAnsi="Cambria" w:cs="Open Sans"/>
                <w:noProof/>
                <w:color w:val="58585A"/>
                <w:sz w:val="21"/>
                <w:szCs w:val="21"/>
                <w14:ligatures w14:val="none"/>
              </w:rPr>
              <w:drawing>
                <wp:inline distT="0" distB="0" distL="0" distR="0" wp14:anchorId="4B1037C2" wp14:editId="208BE770">
                  <wp:extent cx="2804189" cy="2163513"/>
                  <wp:effectExtent l="0" t="0" r="0" b="8255"/>
                  <wp:docPr id="638425992"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19563" cy="2175374"/>
                          </a:xfrm>
                          <a:prstGeom prst="rect">
                            <a:avLst/>
                          </a:prstGeom>
                          <a:noFill/>
                          <a:ln>
                            <a:noFill/>
                          </a:ln>
                        </pic:spPr>
                      </pic:pic>
                    </a:graphicData>
                  </a:graphic>
                </wp:inline>
              </w:drawing>
            </w:r>
            <w:r w:rsidRPr="00B562A4">
              <w:rPr>
                <w:rFonts w:ascii="Cambria" w:hAnsi="Cambria" w:cs="Open Sans"/>
                <w:color w:val="58585A"/>
                <w:sz w:val="21"/>
                <w:szCs w:val="21"/>
              </w:rPr>
              <w:br/>
            </w:r>
            <w:r w:rsidRPr="00B562A4">
              <w:rPr>
                <w:rFonts w:ascii="Cambria" w:hAnsi="Cambria" w:cs="Open Sans"/>
                <w:color w:val="58585A"/>
                <w:sz w:val="21"/>
                <w:szCs w:val="21"/>
              </w:rPr>
              <w:br/>
            </w:r>
            <w:r w:rsidRPr="00B562A4">
              <w:rPr>
                <w:rFonts w:ascii="Cambria" w:hAnsi="Cambria" w:cs="Open Sans"/>
                <w:color w:val="58585A"/>
                <w:sz w:val="18"/>
                <w:szCs w:val="18"/>
              </w:rPr>
              <w:t xml:space="preserve">Karta </w:t>
            </w:r>
            <w:r w:rsidRPr="00B562A4">
              <w:rPr>
                <w:rFonts w:ascii="Cambria" w:hAnsi="Cambria" w:cs="Open Sans"/>
                <w:color w:val="58585A"/>
                <w:sz w:val="18"/>
                <w:szCs w:val="18"/>
                <w:highlight w:val="yellow"/>
              </w:rPr>
              <w:t>poplavne ogroženosti</w:t>
            </w:r>
            <w:r w:rsidRPr="00B562A4">
              <w:rPr>
                <w:rFonts w:ascii="Cambria" w:hAnsi="Cambria" w:cs="Open Sans"/>
                <w:color w:val="58585A"/>
                <w:sz w:val="18"/>
                <w:szCs w:val="18"/>
              </w:rPr>
              <w:t xml:space="preserve"> mesta Vicenza, Italija, v primeru poplavnega dogodka z 1-odstotno verjetnostjo nastopa</w:t>
            </w:r>
            <w:r w:rsidRPr="00B562A4">
              <w:rPr>
                <w:rFonts w:ascii="Cambria" w:hAnsi="Cambria" w:cs="Open Sans"/>
                <w:color w:val="58585A"/>
                <w:sz w:val="18"/>
                <w:szCs w:val="18"/>
              </w:rPr>
              <w:br/>
            </w:r>
            <w:r w:rsidRPr="00B562A4">
              <w:rPr>
                <w:rStyle w:val="Emphasis"/>
                <w:rFonts w:ascii="Cambria" w:hAnsi="Cambria" w:cs="Open Sans"/>
                <w:color w:val="58585A"/>
                <w:sz w:val="18"/>
                <w:szCs w:val="18"/>
              </w:rPr>
              <w:t>Vir:</w:t>
            </w:r>
            <w:r w:rsidRPr="00B562A4">
              <w:rPr>
                <w:rFonts w:ascii="Cambria" w:hAnsi="Cambria" w:cs="Open Sans"/>
                <w:color w:val="58585A"/>
                <w:sz w:val="18"/>
                <w:szCs w:val="18"/>
              </w:rPr>
              <w:t xml:space="preserve"> Spletne karte, ki jih je objavil Eastern Alps Hydrographical Basin, Italija.</w:t>
            </w:r>
          </w:p>
        </w:tc>
        <w:tc>
          <w:tcPr>
            <w:tcW w:w="3527" w:type="dxa"/>
            <w:tcBorders>
              <w:top w:val="nil"/>
              <w:left w:val="nil"/>
              <w:bottom w:val="single" w:sz="8" w:space="0" w:color="0E6A39"/>
              <w:right w:val="single" w:sz="8" w:space="0" w:color="0E6A39"/>
            </w:tcBorders>
            <w:shd w:val="clear" w:color="auto" w:fill="FFFFFF"/>
            <w:tcMar>
              <w:top w:w="75" w:type="dxa"/>
              <w:left w:w="75" w:type="dxa"/>
              <w:bottom w:w="75" w:type="dxa"/>
              <w:right w:w="75" w:type="dxa"/>
            </w:tcMar>
            <w:hideMark/>
          </w:tcPr>
          <w:p w14:paraId="0A4A1035" w14:textId="2532E008" w:rsidR="006753D1" w:rsidRPr="00B562A4" w:rsidRDefault="006753D1" w:rsidP="006753D1">
            <w:pPr>
              <w:pStyle w:val="NormalWeb"/>
              <w:spacing w:before="0" w:beforeAutospacing="0" w:after="0" w:afterAutospacing="0"/>
              <w:rPr>
                <w:rFonts w:ascii="Cambria" w:hAnsi="Cambria" w:cs="Open Sans"/>
                <w:color w:val="58585A"/>
                <w:sz w:val="18"/>
                <w:szCs w:val="18"/>
              </w:rPr>
            </w:pPr>
            <w:r w:rsidRPr="00B562A4">
              <w:rPr>
                <w:rStyle w:val="Emphasis"/>
                <w:rFonts w:ascii="Cambria" w:hAnsi="Cambria" w:cs="Open Sans"/>
                <w:color w:val="58585A"/>
                <w:sz w:val="18"/>
                <w:szCs w:val="18"/>
              </w:rPr>
              <w:t>Legenda:</w:t>
            </w:r>
            <w:r w:rsidRPr="00B562A4">
              <w:rPr>
                <w:rFonts w:ascii="Cambria" w:hAnsi="Cambria" w:cs="Open Sans"/>
                <w:color w:val="58585A"/>
                <w:sz w:val="18"/>
                <w:szCs w:val="18"/>
              </w:rPr>
              <w:br/>
              <w:t>Razredi ogroženosti:</w:t>
            </w:r>
          </w:p>
          <w:p w14:paraId="565C704F" w14:textId="77777777" w:rsidR="006753D1" w:rsidRPr="00B562A4" w:rsidRDefault="006753D1" w:rsidP="006753D1">
            <w:pPr>
              <w:pStyle w:val="NormalWeb"/>
              <w:spacing w:before="0" w:beforeAutospacing="0" w:after="0" w:afterAutospacing="0"/>
              <w:rPr>
                <w:rFonts w:ascii="Cambria" w:hAnsi="Cambria" w:cs="Open Sans"/>
                <w:color w:val="58585A"/>
                <w:sz w:val="18"/>
                <w:szCs w:val="18"/>
              </w:rPr>
            </w:pPr>
            <w:r w:rsidRPr="00B562A4">
              <w:rPr>
                <w:rFonts w:ascii="Cambria" w:hAnsi="Cambria" w:cs="Open Sans"/>
                <w:noProof/>
                <w:color w:val="58585A"/>
                <w:sz w:val="18"/>
                <w:szCs w:val="18"/>
              </w:rPr>
              <w:drawing>
                <wp:inline distT="0" distB="0" distL="0" distR="0" wp14:anchorId="2660E131" wp14:editId="6DABD456">
                  <wp:extent cx="278130" cy="198755"/>
                  <wp:effectExtent l="0" t="0" r="7620" b="0"/>
                  <wp:docPr id="854741317"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8130" cy="198755"/>
                          </a:xfrm>
                          <a:prstGeom prst="rect">
                            <a:avLst/>
                          </a:prstGeom>
                          <a:noFill/>
                          <a:ln>
                            <a:noFill/>
                          </a:ln>
                        </pic:spPr>
                      </pic:pic>
                    </a:graphicData>
                  </a:graphic>
                </wp:inline>
              </w:drawing>
            </w:r>
            <w:r w:rsidRPr="00B562A4">
              <w:rPr>
                <w:rFonts w:ascii="Cambria" w:hAnsi="Cambria" w:cs="Open Sans"/>
                <w:color w:val="58585A"/>
                <w:sz w:val="18"/>
                <w:szCs w:val="18"/>
              </w:rPr>
              <w:t>  majhna ogroženost</w:t>
            </w:r>
            <w:r w:rsidRPr="00B562A4">
              <w:rPr>
                <w:rFonts w:ascii="Cambria" w:hAnsi="Cambria" w:cs="Open Sans"/>
                <w:color w:val="58585A"/>
                <w:sz w:val="18"/>
                <w:szCs w:val="18"/>
              </w:rPr>
              <w:br/>
            </w:r>
            <w:r w:rsidRPr="00B562A4">
              <w:rPr>
                <w:rFonts w:ascii="Cambria" w:hAnsi="Cambria" w:cs="Open Sans"/>
                <w:noProof/>
                <w:color w:val="58585A"/>
                <w:sz w:val="18"/>
                <w:szCs w:val="18"/>
              </w:rPr>
              <w:drawing>
                <wp:inline distT="0" distB="0" distL="0" distR="0" wp14:anchorId="73FDE8A4" wp14:editId="6ED2D017">
                  <wp:extent cx="278130" cy="218440"/>
                  <wp:effectExtent l="0" t="0" r="7620" b="0"/>
                  <wp:docPr id="717603755"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8130" cy="218440"/>
                          </a:xfrm>
                          <a:prstGeom prst="rect">
                            <a:avLst/>
                          </a:prstGeom>
                          <a:noFill/>
                          <a:ln>
                            <a:noFill/>
                          </a:ln>
                        </pic:spPr>
                      </pic:pic>
                    </a:graphicData>
                  </a:graphic>
                </wp:inline>
              </w:drawing>
            </w:r>
            <w:r w:rsidRPr="00B562A4">
              <w:rPr>
                <w:rFonts w:ascii="Cambria" w:hAnsi="Cambria" w:cs="Open Sans"/>
                <w:color w:val="58585A"/>
                <w:sz w:val="18"/>
                <w:szCs w:val="18"/>
              </w:rPr>
              <w:t>  srednja ogroženost</w:t>
            </w:r>
            <w:r w:rsidRPr="00B562A4">
              <w:rPr>
                <w:rFonts w:ascii="Cambria" w:hAnsi="Cambria" w:cs="Open Sans"/>
                <w:color w:val="58585A"/>
                <w:sz w:val="18"/>
                <w:szCs w:val="18"/>
              </w:rPr>
              <w:br/>
            </w:r>
            <w:r w:rsidRPr="00B562A4">
              <w:rPr>
                <w:rFonts w:ascii="Cambria" w:hAnsi="Cambria" w:cs="Open Sans"/>
                <w:noProof/>
                <w:color w:val="58585A"/>
                <w:sz w:val="18"/>
                <w:szCs w:val="18"/>
              </w:rPr>
              <w:drawing>
                <wp:inline distT="0" distB="0" distL="0" distR="0" wp14:anchorId="2885ED94" wp14:editId="34F81DE9">
                  <wp:extent cx="278130" cy="198755"/>
                  <wp:effectExtent l="0" t="0" r="7620" b="0"/>
                  <wp:docPr id="731019761"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8130" cy="198755"/>
                          </a:xfrm>
                          <a:prstGeom prst="rect">
                            <a:avLst/>
                          </a:prstGeom>
                          <a:noFill/>
                          <a:ln>
                            <a:noFill/>
                          </a:ln>
                        </pic:spPr>
                      </pic:pic>
                    </a:graphicData>
                  </a:graphic>
                </wp:inline>
              </w:drawing>
            </w:r>
            <w:r w:rsidRPr="00B562A4">
              <w:rPr>
                <w:rFonts w:ascii="Cambria" w:hAnsi="Cambria" w:cs="Open Sans"/>
                <w:color w:val="58585A"/>
                <w:sz w:val="18"/>
                <w:szCs w:val="18"/>
              </w:rPr>
              <w:t>  velika ogroženost</w:t>
            </w:r>
            <w:r w:rsidRPr="00B562A4">
              <w:rPr>
                <w:rFonts w:ascii="Cambria" w:hAnsi="Cambria" w:cs="Open Sans"/>
                <w:color w:val="58585A"/>
                <w:sz w:val="18"/>
                <w:szCs w:val="18"/>
              </w:rPr>
              <w:br/>
            </w:r>
            <w:r w:rsidRPr="00B562A4">
              <w:rPr>
                <w:rFonts w:ascii="Cambria" w:hAnsi="Cambria" w:cs="Open Sans"/>
                <w:noProof/>
                <w:color w:val="58585A"/>
                <w:sz w:val="18"/>
                <w:szCs w:val="18"/>
              </w:rPr>
              <w:drawing>
                <wp:inline distT="0" distB="0" distL="0" distR="0" wp14:anchorId="2DA030A3" wp14:editId="7576B182">
                  <wp:extent cx="278130" cy="208915"/>
                  <wp:effectExtent l="0" t="0" r="7620" b="635"/>
                  <wp:docPr id="223728742"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8130" cy="208915"/>
                          </a:xfrm>
                          <a:prstGeom prst="rect">
                            <a:avLst/>
                          </a:prstGeom>
                          <a:noFill/>
                          <a:ln>
                            <a:noFill/>
                          </a:ln>
                        </pic:spPr>
                      </pic:pic>
                    </a:graphicData>
                  </a:graphic>
                </wp:inline>
              </w:drawing>
            </w:r>
            <w:r w:rsidRPr="00B562A4">
              <w:rPr>
                <w:rFonts w:ascii="Cambria" w:hAnsi="Cambria" w:cs="Open Sans"/>
                <w:color w:val="58585A"/>
                <w:sz w:val="18"/>
                <w:szCs w:val="18"/>
              </w:rPr>
              <w:t>  zelo velika ogroženost</w:t>
            </w:r>
          </w:p>
          <w:p w14:paraId="334D633D" w14:textId="77777777" w:rsidR="006753D1" w:rsidRPr="00B562A4" w:rsidRDefault="006753D1" w:rsidP="006753D1">
            <w:pPr>
              <w:pStyle w:val="NormalWeb"/>
              <w:spacing w:before="0" w:beforeAutospacing="0" w:after="0" w:afterAutospacing="0"/>
              <w:rPr>
                <w:rFonts w:ascii="Cambria" w:hAnsi="Cambria" w:cs="Open Sans"/>
                <w:color w:val="58585A"/>
                <w:sz w:val="18"/>
                <w:szCs w:val="18"/>
              </w:rPr>
            </w:pPr>
            <w:r w:rsidRPr="00B562A4">
              <w:rPr>
                <w:rFonts w:ascii="Cambria" w:hAnsi="Cambria" w:cs="Open Sans"/>
                <w:color w:val="58585A"/>
                <w:sz w:val="18"/>
                <w:szCs w:val="18"/>
              </w:rPr>
              <w:t>Piktogrami na karti označujejo:</w:t>
            </w:r>
          </w:p>
          <w:p w14:paraId="3AE4DB26" w14:textId="77777777" w:rsidR="006753D1" w:rsidRPr="00B562A4" w:rsidRDefault="006753D1" w:rsidP="006753D1">
            <w:pPr>
              <w:pStyle w:val="NormalWeb"/>
              <w:spacing w:before="0" w:beforeAutospacing="0" w:after="0" w:afterAutospacing="0"/>
              <w:rPr>
                <w:rFonts w:ascii="Cambria" w:hAnsi="Cambria" w:cs="Open Sans"/>
                <w:color w:val="58585A"/>
                <w:sz w:val="21"/>
                <w:szCs w:val="21"/>
              </w:rPr>
            </w:pPr>
            <w:r w:rsidRPr="00B562A4">
              <w:rPr>
                <w:rFonts w:ascii="Cambria" w:hAnsi="Cambria" w:cs="Open Sans"/>
                <w:noProof/>
                <w:color w:val="58585A"/>
                <w:sz w:val="18"/>
                <w:szCs w:val="18"/>
              </w:rPr>
              <w:drawing>
                <wp:inline distT="0" distB="0" distL="0" distR="0" wp14:anchorId="6584AF53" wp14:editId="44AC6887">
                  <wp:extent cx="218440" cy="487045"/>
                  <wp:effectExtent l="0" t="0" r="0" b="8255"/>
                  <wp:docPr id="2045707815"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8440" cy="487045"/>
                          </a:xfrm>
                          <a:prstGeom prst="rect">
                            <a:avLst/>
                          </a:prstGeom>
                          <a:noFill/>
                          <a:ln>
                            <a:noFill/>
                          </a:ln>
                        </pic:spPr>
                      </pic:pic>
                    </a:graphicData>
                  </a:graphic>
                </wp:inline>
              </w:drawing>
            </w:r>
            <w:r w:rsidRPr="00B562A4">
              <w:rPr>
                <w:rFonts w:ascii="Cambria" w:hAnsi="Cambria" w:cs="Open Sans"/>
                <w:color w:val="58585A"/>
                <w:sz w:val="18"/>
                <w:szCs w:val="18"/>
              </w:rPr>
              <w:t>  ogroženost manj kot 500 oseb</w:t>
            </w:r>
            <w:r w:rsidRPr="00B562A4">
              <w:rPr>
                <w:rFonts w:ascii="Cambria" w:hAnsi="Cambria" w:cs="Open Sans"/>
                <w:color w:val="58585A"/>
                <w:sz w:val="18"/>
                <w:szCs w:val="18"/>
              </w:rPr>
              <w:br/>
            </w:r>
            <w:r w:rsidRPr="00B562A4">
              <w:rPr>
                <w:rFonts w:ascii="Cambria" w:hAnsi="Cambria" w:cs="Open Sans"/>
                <w:noProof/>
                <w:color w:val="58585A"/>
                <w:sz w:val="18"/>
                <w:szCs w:val="18"/>
              </w:rPr>
              <w:drawing>
                <wp:inline distT="0" distB="0" distL="0" distR="0" wp14:anchorId="74FC8FDE" wp14:editId="564ABCC6">
                  <wp:extent cx="759325" cy="318079"/>
                  <wp:effectExtent l="0" t="0" r="3175" b="6350"/>
                  <wp:docPr id="1738372484"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6945" cy="321271"/>
                          </a:xfrm>
                          <a:prstGeom prst="rect">
                            <a:avLst/>
                          </a:prstGeom>
                          <a:noFill/>
                          <a:ln>
                            <a:noFill/>
                          </a:ln>
                        </pic:spPr>
                      </pic:pic>
                    </a:graphicData>
                  </a:graphic>
                </wp:inline>
              </w:drawing>
            </w:r>
            <w:r w:rsidRPr="00B562A4">
              <w:rPr>
                <w:rFonts w:ascii="Cambria" w:hAnsi="Cambria" w:cs="Open Sans"/>
                <w:color w:val="58585A"/>
                <w:sz w:val="18"/>
                <w:szCs w:val="18"/>
              </w:rPr>
              <w:t>  stavbe in objekti kulturnega pomena</w:t>
            </w:r>
            <w:r w:rsidRPr="00B562A4">
              <w:rPr>
                <w:rFonts w:ascii="Cambria" w:hAnsi="Cambria" w:cs="Open Sans"/>
                <w:color w:val="58585A"/>
                <w:sz w:val="18"/>
                <w:szCs w:val="18"/>
              </w:rPr>
              <w:br/>
            </w:r>
            <w:r w:rsidRPr="00B562A4">
              <w:rPr>
                <w:rFonts w:ascii="Cambria" w:hAnsi="Cambria" w:cs="Open Sans"/>
                <w:noProof/>
                <w:color w:val="58585A"/>
                <w:sz w:val="18"/>
                <w:szCs w:val="18"/>
              </w:rPr>
              <w:drawing>
                <wp:inline distT="0" distB="0" distL="0" distR="0" wp14:anchorId="56A65DF6" wp14:editId="476F9D0E">
                  <wp:extent cx="576580" cy="576580"/>
                  <wp:effectExtent l="0" t="0" r="0" b="0"/>
                  <wp:docPr id="2140543113"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580" cy="576580"/>
                          </a:xfrm>
                          <a:prstGeom prst="rect">
                            <a:avLst/>
                          </a:prstGeom>
                          <a:noFill/>
                          <a:ln>
                            <a:noFill/>
                          </a:ln>
                        </pic:spPr>
                      </pic:pic>
                    </a:graphicData>
                  </a:graphic>
                </wp:inline>
              </w:drawing>
            </w:r>
            <w:r w:rsidRPr="00B562A4">
              <w:rPr>
                <w:rFonts w:ascii="Cambria" w:hAnsi="Cambria" w:cs="Open Sans"/>
                <w:color w:val="58585A"/>
                <w:sz w:val="18"/>
                <w:szCs w:val="18"/>
              </w:rPr>
              <w:t>  območje na Unescovem seznamu</w:t>
            </w:r>
            <w:r w:rsidRPr="00B562A4">
              <w:rPr>
                <w:rFonts w:ascii="Cambria" w:hAnsi="Cambria" w:cs="Open Sans"/>
                <w:color w:val="58585A"/>
                <w:sz w:val="21"/>
                <w:szCs w:val="21"/>
              </w:rPr>
              <w:t xml:space="preserve"> </w:t>
            </w:r>
            <w:r w:rsidRPr="00B562A4">
              <w:rPr>
                <w:rFonts w:ascii="Cambria" w:hAnsi="Cambria" w:cs="Open Sans"/>
                <w:color w:val="58585A"/>
                <w:sz w:val="18"/>
                <w:szCs w:val="18"/>
              </w:rPr>
              <w:t xml:space="preserve">svetovne </w:t>
            </w:r>
            <w:r w:rsidRPr="00B562A4">
              <w:rPr>
                <w:rFonts w:ascii="Cambria" w:hAnsi="Cambria" w:cs="Open Sans"/>
                <w:color w:val="58585A"/>
                <w:sz w:val="21"/>
                <w:szCs w:val="21"/>
              </w:rPr>
              <w:t>dediščine</w:t>
            </w:r>
            <w:r w:rsidRPr="00B562A4">
              <w:rPr>
                <w:rFonts w:ascii="Cambria" w:hAnsi="Cambria" w:cs="Open Sans"/>
                <w:color w:val="58585A"/>
                <w:sz w:val="21"/>
                <w:szCs w:val="21"/>
              </w:rPr>
              <w:br/>
            </w:r>
            <w:r w:rsidRPr="00B562A4">
              <w:rPr>
                <w:rFonts w:ascii="Cambria" w:hAnsi="Cambria" w:cs="Open Sans"/>
                <w:noProof/>
                <w:color w:val="58585A"/>
                <w:sz w:val="21"/>
                <w:szCs w:val="21"/>
              </w:rPr>
              <w:drawing>
                <wp:inline distT="0" distB="0" distL="0" distR="0" wp14:anchorId="1FE8F123" wp14:editId="0CF88F72">
                  <wp:extent cx="517028" cy="517028"/>
                  <wp:effectExtent l="0" t="0" r="0" b="0"/>
                  <wp:docPr id="66448097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0617" cy="520617"/>
                          </a:xfrm>
                          <a:prstGeom prst="rect">
                            <a:avLst/>
                          </a:prstGeom>
                          <a:noFill/>
                          <a:ln>
                            <a:noFill/>
                          </a:ln>
                        </pic:spPr>
                      </pic:pic>
                    </a:graphicData>
                  </a:graphic>
                </wp:inline>
              </w:drawing>
            </w:r>
            <w:r w:rsidRPr="00B562A4">
              <w:rPr>
                <w:rFonts w:ascii="Cambria" w:hAnsi="Cambria" w:cs="Open Sans"/>
                <w:color w:val="58585A"/>
                <w:sz w:val="21"/>
                <w:szCs w:val="21"/>
              </w:rPr>
              <w:t>  šole</w:t>
            </w:r>
          </w:p>
        </w:tc>
      </w:tr>
    </w:tbl>
    <w:p w14:paraId="27A0FA73" w14:textId="77777777" w:rsidR="006753D1" w:rsidRPr="00B562A4" w:rsidRDefault="006753D1" w:rsidP="00014776">
      <w:pPr>
        <w:pStyle w:val="Heading4"/>
        <w:shd w:val="clear" w:color="auto" w:fill="FFFFFF"/>
        <w:spacing w:before="240" w:after="192"/>
        <w:ind w:left="1416"/>
        <w:rPr>
          <w:rFonts w:eastAsia="Times New Roman" w:cs="Open Sans"/>
          <w:color w:val="016937"/>
          <w:sz w:val="26"/>
          <w:szCs w:val="26"/>
        </w:rPr>
      </w:pPr>
    </w:p>
    <w:p w14:paraId="654F2ACA" w14:textId="77777777" w:rsidR="006753D1" w:rsidRPr="00B562A4" w:rsidRDefault="006753D1" w:rsidP="00014776">
      <w:pPr>
        <w:pStyle w:val="Heading4"/>
        <w:shd w:val="clear" w:color="auto" w:fill="FFFFFF"/>
        <w:spacing w:before="240" w:after="192"/>
        <w:ind w:left="1416"/>
        <w:rPr>
          <w:rFonts w:eastAsia="Times New Roman" w:cs="Open Sans"/>
          <w:color w:val="016937"/>
          <w:sz w:val="26"/>
          <w:szCs w:val="26"/>
        </w:rPr>
      </w:pPr>
    </w:p>
    <w:p w14:paraId="3477EE63" w14:textId="77777777" w:rsidR="006753D1" w:rsidRPr="00B562A4" w:rsidRDefault="006753D1" w:rsidP="00014776">
      <w:pPr>
        <w:pStyle w:val="Heading4"/>
        <w:shd w:val="clear" w:color="auto" w:fill="FFFFFF"/>
        <w:spacing w:before="240" w:after="192"/>
        <w:ind w:left="1416"/>
        <w:rPr>
          <w:rFonts w:eastAsia="Times New Roman" w:cs="Open Sans"/>
          <w:color w:val="016937"/>
          <w:sz w:val="26"/>
          <w:szCs w:val="26"/>
        </w:rPr>
      </w:pPr>
    </w:p>
    <w:p w14:paraId="5E424AF2" w14:textId="77777777" w:rsidR="006753D1" w:rsidRPr="00B562A4" w:rsidRDefault="006753D1" w:rsidP="00014776">
      <w:pPr>
        <w:pStyle w:val="Heading4"/>
        <w:shd w:val="clear" w:color="auto" w:fill="FFFFFF"/>
        <w:spacing w:before="240" w:after="192"/>
        <w:ind w:left="1416"/>
        <w:rPr>
          <w:rFonts w:eastAsia="Times New Roman" w:cs="Open Sans"/>
          <w:color w:val="016937"/>
          <w:sz w:val="26"/>
          <w:szCs w:val="26"/>
        </w:rPr>
      </w:pPr>
    </w:p>
    <w:p w14:paraId="73C5E9B1" w14:textId="77777777" w:rsidR="006753D1" w:rsidRPr="00B562A4" w:rsidRDefault="006753D1" w:rsidP="00014776">
      <w:pPr>
        <w:pStyle w:val="Heading4"/>
        <w:shd w:val="clear" w:color="auto" w:fill="FFFFFF"/>
        <w:spacing w:before="240" w:after="192"/>
        <w:ind w:left="1416"/>
        <w:rPr>
          <w:rFonts w:eastAsia="Times New Roman" w:cs="Open Sans"/>
          <w:color w:val="016937"/>
          <w:sz w:val="26"/>
          <w:szCs w:val="26"/>
        </w:rPr>
      </w:pPr>
    </w:p>
    <w:p w14:paraId="2C5678D3" w14:textId="77777777" w:rsidR="006753D1" w:rsidRPr="00B562A4" w:rsidRDefault="006753D1" w:rsidP="00014776">
      <w:pPr>
        <w:pStyle w:val="Heading4"/>
        <w:shd w:val="clear" w:color="auto" w:fill="FFFFFF"/>
        <w:spacing w:before="240" w:after="192"/>
        <w:ind w:left="1416"/>
        <w:rPr>
          <w:rFonts w:eastAsia="Times New Roman" w:cs="Open Sans"/>
          <w:color w:val="016937"/>
          <w:sz w:val="26"/>
          <w:szCs w:val="26"/>
        </w:rPr>
      </w:pPr>
    </w:p>
    <w:p w14:paraId="40E736B7" w14:textId="77777777" w:rsidR="006753D1" w:rsidRPr="00B562A4" w:rsidRDefault="006753D1" w:rsidP="00014776">
      <w:pPr>
        <w:pStyle w:val="Heading4"/>
        <w:shd w:val="clear" w:color="auto" w:fill="FFFFFF"/>
        <w:spacing w:before="240" w:after="192"/>
        <w:ind w:left="1416"/>
        <w:rPr>
          <w:rFonts w:eastAsia="Times New Roman" w:cs="Open Sans"/>
          <w:color w:val="016937"/>
          <w:sz w:val="26"/>
          <w:szCs w:val="26"/>
        </w:rPr>
      </w:pPr>
    </w:p>
    <w:p w14:paraId="657D4FD9" w14:textId="77777777" w:rsidR="006753D1" w:rsidRPr="00B562A4" w:rsidRDefault="006753D1" w:rsidP="00014776">
      <w:pPr>
        <w:pStyle w:val="Heading4"/>
        <w:shd w:val="clear" w:color="auto" w:fill="FFFFFF"/>
        <w:spacing w:before="240" w:after="192"/>
        <w:ind w:left="1416"/>
        <w:rPr>
          <w:rFonts w:eastAsia="Times New Roman" w:cs="Open Sans"/>
          <w:color w:val="016937"/>
          <w:sz w:val="26"/>
          <w:szCs w:val="26"/>
        </w:rPr>
      </w:pPr>
    </w:p>
    <w:p w14:paraId="5C14DC0E" w14:textId="77777777" w:rsidR="006753D1" w:rsidRPr="00B562A4" w:rsidRDefault="006753D1" w:rsidP="00014776">
      <w:pPr>
        <w:pStyle w:val="Heading4"/>
        <w:shd w:val="clear" w:color="auto" w:fill="FFFFFF"/>
        <w:spacing w:before="240" w:after="192"/>
        <w:ind w:left="1416"/>
        <w:rPr>
          <w:rFonts w:eastAsia="Times New Roman" w:cs="Open Sans"/>
          <w:color w:val="016937"/>
          <w:sz w:val="26"/>
          <w:szCs w:val="26"/>
        </w:rPr>
      </w:pPr>
    </w:p>
    <w:p w14:paraId="025C0D7A" w14:textId="77777777" w:rsidR="006753D1" w:rsidRPr="00B562A4" w:rsidRDefault="006753D1" w:rsidP="00014776">
      <w:pPr>
        <w:pStyle w:val="Heading4"/>
        <w:shd w:val="clear" w:color="auto" w:fill="FFFFFF"/>
        <w:spacing w:before="240" w:after="192"/>
        <w:ind w:left="1416"/>
        <w:rPr>
          <w:rFonts w:eastAsia="Times New Roman" w:cs="Open Sans"/>
          <w:color w:val="016937"/>
          <w:sz w:val="26"/>
          <w:szCs w:val="26"/>
        </w:rPr>
      </w:pPr>
    </w:p>
    <w:p w14:paraId="0EDBE6D3" w14:textId="77777777" w:rsidR="006753D1" w:rsidRPr="00B562A4" w:rsidRDefault="006753D1" w:rsidP="00014776">
      <w:pPr>
        <w:pStyle w:val="Heading4"/>
        <w:shd w:val="clear" w:color="auto" w:fill="FFFFFF"/>
        <w:spacing w:before="240" w:after="192"/>
        <w:ind w:left="1416"/>
        <w:rPr>
          <w:rFonts w:eastAsia="Times New Roman" w:cs="Open Sans"/>
          <w:color w:val="016937"/>
          <w:sz w:val="26"/>
          <w:szCs w:val="26"/>
        </w:rPr>
      </w:pPr>
    </w:p>
    <w:p w14:paraId="2DEC6B38" w14:textId="77777777" w:rsidR="006753D1" w:rsidRPr="00B562A4" w:rsidRDefault="006753D1" w:rsidP="00014776">
      <w:pPr>
        <w:pStyle w:val="Heading4"/>
        <w:shd w:val="clear" w:color="auto" w:fill="FFFFFF"/>
        <w:spacing w:before="240" w:after="192"/>
        <w:ind w:left="1416"/>
        <w:rPr>
          <w:rFonts w:eastAsia="Times New Roman" w:cs="Open Sans"/>
          <w:color w:val="016937"/>
          <w:sz w:val="26"/>
          <w:szCs w:val="26"/>
        </w:rPr>
      </w:pPr>
    </w:p>
    <w:p w14:paraId="05CF9A92" w14:textId="77777777" w:rsidR="006753D1" w:rsidRPr="00B562A4" w:rsidRDefault="006753D1" w:rsidP="00014776">
      <w:pPr>
        <w:pStyle w:val="Heading4"/>
        <w:shd w:val="clear" w:color="auto" w:fill="FFFFFF"/>
        <w:spacing w:before="240" w:after="192"/>
        <w:ind w:left="1416"/>
        <w:rPr>
          <w:rFonts w:eastAsia="Times New Roman" w:cs="Open Sans"/>
          <w:color w:val="016937"/>
          <w:sz w:val="26"/>
          <w:szCs w:val="26"/>
        </w:rPr>
      </w:pPr>
    </w:p>
    <w:p w14:paraId="54FB14DF" w14:textId="77777777" w:rsidR="006753D1" w:rsidRPr="00B562A4" w:rsidRDefault="006753D1" w:rsidP="00014776">
      <w:pPr>
        <w:pStyle w:val="Heading4"/>
        <w:shd w:val="clear" w:color="auto" w:fill="FFFFFF"/>
        <w:spacing w:before="240" w:after="192"/>
        <w:ind w:left="1416"/>
        <w:rPr>
          <w:rFonts w:eastAsia="Times New Roman" w:cs="Open Sans"/>
          <w:color w:val="016937"/>
          <w:sz w:val="26"/>
          <w:szCs w:val="26"/>
        </w:rPr>
      </w:pPr>
    </w:p>
    <w:p w14:paraId="5E596994" w14:textId="77777777" w:rsidR="006753D1" w:rsidRPr="00B562A4" w:rsidRDefault="006753D1" w:rsidP="00014776">
      <w:pPr>
        <w:pStyle w:val="Heading4"/>
        <w:shd w:val="clear" w:color="auto" w:fill="FFFFFF"/>
        <w:spacing w:before="240" w:after="192"/>
        <w:ind w:left="1416"/>
        <w:rPr>
          <w:rFonts w:eastAsia="Times New Roman" w:cs="Open Sans"/>
          <w:color w:val="016937"/>
          <w:sz w:val="26"/>
          <w:szCs w:val="26"/>
        </w:rPr>
      </w:pPr>
    </w:p>
    <w:p w14:paraId="197A52A5" w14:textId="77777777" w:rsidR="006753D1" w:rsidRPr="00B562A4" w:rsidRDefault="006753D1" w:rsidP="00014776">
      <w:pPr>
        <w:pStyle w:val="Heading4"/>
        <w:shd w:val="clear" w:color="auto" w:fill="FFFFFF"/>
        <w:spacing w:before="240" w:after="192"/>
        <w:ind w:left="1416"/>
        <w:rPr>
          <w:rFonts w:eastAsia="Times New Roman" w:cs="Open Sans"/>
          <w:color w:val="016937"/>
          <w:sz w:val="26"/>
          <w:szCs w:val="26"/>
        </w:rPr>
      </w:pPr>
    </w:p>
    <w:p w14:paraId="04FBE416" w14:textId="77777777" w:rsidR="006753D1" w:rsidRPr="00B562A4" w:rsidRDefault="006753D1" w:rsidP="00014776">
      <w:pPr>
        <w:pStyle w:val="Heading4"/>
        <w:shd w:val="clear" w:color="auto" w:fill="FFFFFF"/>
        <w:spacing w:before="240" w:after="192"/>
        <w:ind w:left="1416"/>
        <w:rPr>
          <w:rFonts w:eastAsia="Times New Roman" w:cs="Open Sans"/>
          <w:color w:val="016937"/>
          <w:sz w:val="26"/>
          <w:szCs w:val="26"/>
        </w:rPr>
      </w:pPr>
    </w:p>
    <w:p w14:paraId="7ACBE022" w14:textId="414B6724" w:rsidR="00014776" w:rsidRPr="00B562A4" w:rsidRDefault="00014776" w:rsidP="00707992">
      <w:pPr>
        <w:pStyle w:val="Heading4"/>
        <w:keepNext w:val="0"/>
        <w:shd w:val="clear" w:color="auto" w:fill="FFFFFF"/>
        <w:spacing w:before="240" w:after="192"/>
        <w:ind w:left="1418"/>
        <w:rPr>
          <w:rFonts w:eastAsia="Times New Roman" w:cs="Open Sans"/>
          <w:color w:val="016937"/>
          <w:sz w:val="26"/>
          <w:szCs w:val="26"/>
        </w:rPr>
      </w:pPr>
      <w:r w:rsidRPr="00B562A4">
        <w:rPr>
          <w:rFonts w:eastAsia="Times New Roman" w:cs="Open Sans"/>
          <w:color w:val="016937"/>
          <w:sz w:val="26"/>
          <w:szCs w:val="26"/>
        </w:rPr>
        <w:t xml:space="preserve">Primer kart poplavne </w:t>
      </w:r>
      <w:r w:rsidRPr="00B562A4">
        <w:rPr>
          <w:rFonts w:eastAsia="Times New Roman" w:cs="Open Sans"/>
          <w:color w:val="016937"/>
          <w:sz w:val="26"/>
          <w:szCs w:val="26"/>
          <w:highlight w:val="yellow"/>
        </w:rPr>
        <w:t>nevarnosti</w:t>
      </w:r>
      <w:r w:rsidRPr="00B562A4">
        <w:rPr>
          <w:rFonts w:eastAsia="Times New Roman" w:cs="Open Sans"/>
          <w:color w:val="016937"/>
          <w:sz w:val="26"/>
          <w:szCs w:val="26"/>
        </w:rPr>
        <w:t xml:space="preserve"> in </w:t>
      </w:r>
      <w:r w:rsidRPr="00B562A4">
        <w:rPr>
          <w:rFonts w:eastAsia="Times New Roman" w:cs="Open Sans"/>
          <w:color w:val="016937"/>
          <w:sz w:val="26"/>
          <w:szCs w:val="26"/>
          <w:highlight w:val="yellow"/>
        </w:rPr>
        <w:t>ogroženosti</w:t>
      </w:r>
    </w:p>
    <w:p w14:paraId="393591C2" w14:textId="77777777" w:rsidR="00707992" w:rsidRPr="00B562A4" w:rsidRDefault="00707992" w:rsidP="00E7314D">
      <w:pPr>
        <w:pStyle w:val="Heading4"/>
        <w:shd w:val="clear" w:color="auto" w:fill="FFFFFF"/>
        <w:spacing w:before="240" w:after="192"/>
        <w:ind w:left="1416"/>
        <w:rPr>
          <w:rFonts w:eastAsia="Times New Roman" w:cs="Open Sans"/>
          <w:color w:val="016937"/>
          <w:sz w:val="26"/>
          <w:szCs w:val="26"/>
        </w:rPr>
      </w:pPr>
    </w:p>
    <w:p w14:paraId="58498C2A" w14:textId="77777777" w:rsidR="00707992" w:rsidRPr="00B562A4" w:rsidRDefault="00707992" w:rsidP="00E7314D">
      <w:pPr>
        <w:pStyle w:val="Heading4"/>
        <w:shd w:val="clear" w:color="auto" w:fill="FFFFFF"/>
        <w:spacing w:before="240" w:after="192"/>
        <w:ind w:left="1416"/>
        <w:rPr>
          <w:rFonts w:eastAsia="Times New Roman" w:cs="Open Sans"/>
          <w:color w:val="016937"/>
          <w:sz w:val="26"/>
          <w:szCs w:val="26"/>
        </w:rPr>
      </w:pPr>
    </w:p>
    <w:p w14:paraId="25454B4D" w14:textId="68C038F4" w:rsidR="00707992" w:rsidRPr="00B562A4" w:rsidRDefault="00C91A5C" w:rsidP="00B562A4">
      <w:pPr>
        <w:pStyle w:val="Heading4"/>
        <w:shd w:val="clear" w:color="auto" w:fill="FFFFFF"/>
        <w:spacing w:before="240" w:after="192"/>
        <w:ind w:left="708"/>
      </w:pPr>
      <w:hyperlink r:id="rId40" w:history="1">
        <w:r w:rsidR="00707992" w:rsidRPr="00B562A4">
          <w:rPr>
            <w:rStyle w:val="Hyperlink"/>
          </w:rPr>
          <w:t>https://eur-lex.europa.eu/SL/legal-content/summary/flood-risk-management-in-the-eu.html</w:t>
        </w:r>
      </w:hyperlink>
    </w:p>
    <w:p w14:paraId="3EB52DB5" w14:textId="77777777" w:rsidR="00707992" w:rsidRPr="00B562A4" w:rsidRDefault="00707992" w:rsidP="00B562A4">
      <w:pPr>
        <w:pStyle w:val="Heading4"/>
        <w:shd w:val="clear" w:color="auto" w:fill="FFFFFF"/>
        <w:spacing w:before="240" w:after="192"/>
        <w:ind w:left="708"/>
      </w:pPr>
    </w:p>
    <w:p w14:paraId="585F4862" w14:textId="3F440F3E" w:rsidR="00707992" w:rsidRPr="00B562A4" w:rsidRDefault="00C91A5C" w:rsidP="00B562A4">
      <w:pPr>
        <w:pStyle w:val="Heading4"/>
        <w:shd w:val="clear" w:color="auto" w:fill="FFFFFF"/>
        <w:spacing w:before="240" w:after="192"/>
        <w:ind w:left="708"/>
      </w:pPr>
      <w:hyperlink r:id="rId41" w:history="1">
        <w:r w:rsidR="00707992" w:rsidRPr="00B562A4">
          <w:rPr>
            <w:rStyle w:val="Hyperlink"/>
          </w:rPr>
          <w:t>https://eur-lex.europa.eu/legal-content/SL/TXT/HTML/?uri=CELEX:32007L0060</w:t>
        </w:r>
      </w:hyperlink>
    </w:p>
    <w:p w14:paraId="17645DF9" w14:textId="77777777" w:rsidR="003A5C1F" w:rsidRPr="00B562A4" w:rsidRDefault="003A5C1F" w:rsidP="003A5C1F">
      <w:pPr>
        <w:pStyle w:val="oj-doc-ti"/>
        <w:shd w:val="clear" w:color="auto" w:fill="FFFFFF"/>
        <w:spacing w:before="240" w:beforeAutospacing="0" w:after="120" w:afterAutospacing="0"/>
        <w:jc w:val="center"/>
        <w:rPr>
          <w:rFonts w:ascii="Cambria" w:hAnsi="Cambria"/>
          <w:b/>
          <w:bCs/>
          <w:color w:val="000000"/>
        </w:rPr>
      </w:pPr>
      <w:r w:rsidRPr="00B562A4">
        <w:rPr>
          <w:rFonts w:ascii="Cambria" w:hAnsi="Cambria"/>
          <w:b/>
          <w:bCs/>
          <w:color w:val="000000"/>
        </w:rPr>
        <w:t>DIREKTIVA 2007/60/ES EVROPSKEGA PARLAMENTA IN SVETA</w:t>
      </w:r>
    </w:p>
    <w:p w14:paraId="0075C525" w14:textId="77777777" w:rsidR="003A5C1F" w:rsidRPr="00B562A4" w:rsidRDefault="003A5C1F" w:rsidP="003A5C1F">
      <w:pPr>
        <w:pStyle w:val="oj-doc-ti"/>
        <w:shd w:val="clear" w:color="auto" w:fill="FFFFFF"/>
        <w:spacing w:before="240" w:beforeAutospacing="0" w:after="120" w:afterAutospacing="0"/>
        <w:jc w:val="center"/>
        <w:rPr>
          <w:rFonts w:ascii="Cambria" w:hAnsi="Cambria"/>
          <w:b/>
          <w:bCs/>
          <w:color w:val="000000"/>
        </w:rPr>
      </w:pPr>
      <w:r w:rsidRPr="00B562A4">
        <w:rPr>
          <w:rFonts w:ascii="Cambria" w:hAnsi="Cambria"/>
          <w:b/>
          <w:bCs/>
          <w:color w:val="000000"/>
        </w:rPr>
        <w:t>z dne 23. oktobra 2007</w:t>
      </w:r>
    </w:p>
    <w:p w14:paraId="4118CBF2" w14:textId="77777777" w:rsidR="003A5C1F" w:rsidRPr="00B562A4" w:rsidRDefault="003A5C1F" w:rsidP="003A5C1F">
      <w:pPr>
        <w:pStyle w:val="oj-doc-ti"/>
        <w:shd w:val="clear" w:color="auto" w:fill="FFFFFF"/>
        <w:spacing w:before="240" w:beforeAutospacing="0" w:after="120" w:afterAutospacing="0"/>
        <w:jc w:val="center"/>
        <w:rPr>
          <w:rFonts w:ascii="Cambria" w:hAnsi="Cambria"/>
          <w:b/>
          <w:bCs/>
          <w:color w:val="000000"/>
        </w:rPr>
      </w:pPr>
      <w:r w:rsidRPr="00B562A4">
        <w:rPr>
          <w:rFonts w:ascii="Cambria" w:hAnsi="Cambria"/>
          <w:b/>
          <w:bCs/>
          <w:color w:val="000000"/>
        </w:rPr>
        <w:t>o oceni in obvladovanju poplavne ogroženosti</w:t>
      </w:r>
    </w:p>
    <w:p w14:paraId="73637D61" w14:textId="77777777" w:rsidR="00707992" w:rsidRPr="00B562A4" w:rsidRDefault="00707992" w:rsidP="00707992">
      <w:pPr>
        <w:shd w:val="clear" w:color="auto" w:fill="FFFFFF"/>
        <w:spacing w:before="480"/>
        <w:jc w:val="center"/>
        <w:rPr>
          <w:rFonts w:ascii="Cambria" w:eastAsia="Times New Roman" w:hAnsi="Cambria" w:cs="Times New Roman"/>
          <w:b/>
          <w:bCs/>
          <w:color w:val="000000"/>
          <w:sz w:val="24"/>
          <w:szCs w:val="24"/>
          <w:lang w:eastAsia="sl-SI"/>
          <w14:ligatures w14:val="none"/>
        </w:rPr>
      </w:pPr>
      <w:r w:rsidRPr="00B562A4">
        <w:rPr>
          <w:rFonts w:ascii="Cambria" w:eastAsia="Times New Roman" w:hAnsi="Cambria" w:cs="Times New Roman"/>
          <w:b/>
          <w:bCs/>
          <w:color w:val="000000"/>
          <w:sz w:val="24"/>
          <w:szCs w:val="24"/>
          <w:lang w:eastAsia="sl-SI"/>
          <w14:ligatures w14:val="none"/>
        </w:rPr>
        <w:t>POGLAVJE II</w:t>
      </w:r>
    </w:p>
    <w:p w14:paraId="4ACDF9EF" w14:textId="77777777" w:rsidR="00707992" w:rsidRPr="00B562A4" w:rsidRDefault="00707992" w:rsidP="00707992">
      <w:pPr>
        <w:shd w:val="clear" w:color="auto" w:fill="FFFFFF"/>
        <w:spacing w:before="75" w:after="120"/>
        <w:jc w:val="center"/>
        <w:rPr>
          <w:rFonts w:ascii="Cambria" w:eastAsia="Times New Roman" w:hAnsi="Cambria" w:cs="Times New Roman"/>
          <w:b/>
          <w:bCs/>
          <w:color w:val="000000"/>
          <w:sz w:val="24"/>
          <w:szCs w:val="24"/>
          <w:lang w:eastAsia="sl-SI"/>
          <w14:ligatures w14:val="none"/>
        </w:rPr>
      </w:pPr>
      <w:r w:rsidRPr="00B562A4">
        <w:rPr>
          <w:rFonts w:ascii="Cambria" w:eastAsia="Times New Roman" w:hAnsi="Cambria" w:cs="Times New Roman"/>
          <w:b/>
          <w:bCs/>
          <w:color w:val="000000"/>
          <w:sz w:val="24"/>
          <w:szCs w:val="24"/>
          <w:lang w:eastAsia="sl-SI"/>
          <w14:ligatures w14:val="none"/>
        </w:rPr>
        <w:t>PREDHODNA OCENA POPLAVNE OGROŽENOSTI</w:t>
      </w:r>
    </w:p>
    <w:p w14:paraId="5AFA1DDD" w14:textId="77777777" w:rsidR="00707992" w:rsidRPr="00B562A4" w:rsidRDefault="00707992" w:rsidP="00707992">
      <w:pPr>
        <w:shd w:val="clear" w:color="auto" w:fill="FFFFFF"/>
        <w:spacing w:before="360" w:after="120"/>
        <w:jc w:val="center"/>
        <w:rPr>
          <w:rFonts w:ascii="Cambria" w:eastAsia="Times New Roman" w:hAnsi="Cambria" w:cs="Times New Roman"/>
          <w:i/>
          <w:iCs/>
          <w:color w:val="000000"/>
          <w:sz w:val="24"/>
          <w:szCs w:val="24"/>
          <w:lang w:eastAsia="sl-SI"/>
          <w14:ligatures w14:val="none"/>
        </w:rPr>
      </w:pPr>
      <w:r w:rsidRPr="00B562A4">
        <w:rPr>
          <w:rFonts w:ascii="Cambria" w:eastAsia="Times New Roman" w:hAnsi="Cambria" w:cs="Times New Roman"/>
          <w:i/>
          <w:iCs/>
          <w:color w:val="000000"/>
          <w:sz w:val="24"/>
          <w:szCs w:val="24"/>
          <w:lang w:eastAsia="sl-SI"/>
          <w14:ligatures w14:val="none"/>
        </w:rPr>
        <w:t>Člen 4</w:t>
      </w:r>
    </w:p>
    <w:p w14:paraId="48589189" w14:textId="77777777" w:rsidR="00707992" w:rsidRPr="00B562A4" w:rsidRDefault="00707992" w:rsidP="00707992">
      <w:pPr>
        <w:shd w:val="clear" w:color="auto" w:fill="FFFFFF"/>
        <w:spacing w:before="120"/>
        <w:jc w:val="both"/>
        <w:rPr>
          <w:rFonts w:ascii="Cambria" w:eastAsia="Times New Roman" w:hAnsi="Cambria" w:cs="Times New Roman"/>
          <w:color w:val="000000"/>
          <w:sz w:val="24"/>
          <w:szCs w:val="24"/>
          <w:lang w:eastAsia="sl-SI"/>
          <w14:ligatures w14:val="none"/>
        </w:rPr>
      </w:pPr>
      <w:r w:rsidRPr="00B562A4">
        <w:rPr>
          <w:rFonts w:ascii="Cambria" w:eastAsia="Times New Roman" w:hAnsi="Cambria" w:cs="Times New Roman"/>
          <w:color w:val="000000"/>
          <w:sz w:val="24"/>
          <w:szCs w:val="24"/>
          <w:lang w:eastAsia="sl-SI"/>
          <w14:ligatures w14:val="none"/>
        </w:rPr>
        <w:t>1.   Države članice za vsako vodno območje ali območje upravljanja iz člena 3(2)(b) ali del mednarodnega vodnega območja, ki leži na njihovem ozemlju, opravijo predhodno oceno poplavne ogroženosti v skladu z odstavkom 2 tega člena.</w:t>
      </w:r>
    </w:p>
    <w:p w14:paraId="08D3FDFA" w14:textId="77777777" w:rsidR="00707992" w:rsidRPr="00B562A4" w:rsidRDefault="00707992" w:rsidP="00707992">
      <w:pPr>
        <w:shd w:val="clear" w:color="auto" w:fill="FFFFFF"/>
        <w:spacing w:before="120"/>
        <w:jc w:val="both"/>
        <w:rPr>
          <w:rFonts w:ascii="Cambria" w:eastAsia="Times New Roman" w:hAnsi="Cambria" w:cs="Times New Roman"/>
          <w:color w:val="000000"/>
          <w:sz w:val="24"/>
          <w:szCs w:val="24"/>
          <w:lang w:eastAsia="sl-SI"/>
          <w14:ligatures w14:val="none"/>
        </w:rPr>
      </w:pPr>
      <w:r w:rsidRPr="00B562A4">
        <w:rPr>
          <w:rFonts w:ascii="Cambria" w:eastAsia="Times New Roman" w:hAnsi="Cambria" w:cs="Times New Roman"/>
          <w:color w:val="000000"/>
          <w:sz w:val="24"/>
          <w:szCs w:val="24"/>
          <w:lang w:eastAsia="sl-SI"/>
          <w14:ligatures w14:val="none"/>
        </w:rPr>
        <w:t>2.   Na podlagi razpoložljivih informacij oziroma informacij, ki jih je mogoče neposredno uporabiti, kot so na primer obstoječi podatki o preteklih poplavah in raziskave o dolgoročnem razvoju, zlasti glede vpliva podnebnih sprememb na pojav poplav, se predhodna ocena poplavne ogroženosti opravi zato, da se izdela ocena morebitne ogroženosti. Ocena vsebuje vsaj:</w:t>
      </w:r>
    </w:p>
    <w:tbl>
      <w:tblPr>
        <w:tblW w:w="5000" w:type="pct"/>
        <w:tblCellMar>
          <w:left w:w="0" w:type="dxa"/>
          <w:right w:w="0" w:type="dxa"/>
        </w:tblCellMar>
        <w:tblLook w:val="04A0" w:firstRow="1" w:lastRow="0" w:firstColumn="1" w:lastColumn="0" w:noHBand="0" w:noVBand="1"/>
      </w:tblPr>
      <w:tblGrid>
        <w:gridCol w:w="301"/>
        <w:gridCol w:w="8771"/>
      </w:tblGrid>
      <w:tr w:rsidR="00707992" w:rsidRPr="00B562A4" w14:paraId="2C21D7A2" w14:textId="77777777">
        <w:tc>
          <w:tcPr>
            <w:tcW w:w="0" w:type="auto"/>
            <w:hideMark/>
          </w:tcPr>
          <w:p w14:paraId="47C3250E" w14:textId="77777777" w:rsidR="00707992" w:rsidRPr="00B562A4" w:rsidRDefault="00707992" w:rsidP="00707992">
            <w:pPr>
              <w:spacing w:before="120"/>
              <w:jc w:val="both"/>
              <w:rPr>
                <w:rFonts w:ascii="Cambria" w:eastAsia="Times New Roman" w:hAnsi="Cambria" w:cs="Times New Roman"/>
                <w:sz w:val="24"/>
                <w:szCs w:val="24"/>
                <w:lang w:eastAsia="sl-SI"/>
                <w14:ligatures w14:val="none"/>
              </w:rPr>
            </w:pPr>
            <w:r w:rsidRPr="00B562A4">
              <w:rPr>
                <w:rFonts w:ascii="Cambria" w:eastAsia="Times New Roman" w:hAnsi="Cambria" w:cs="Times New Roman"/>
                <w:sz w:val="24"/>
                <w:szCs w:val="24"/>
                <w:lang w:eastAsia="sl-SI"/>
                <w14:ligatures w14:val="none"/>
              </w:rPr>
              <w:t>(a)</w:t>
            </w:r>
          </w:p>
        </w:tc>
        <w:tc>
          <w:tcPr>
            <w:tcW w:w="0" w:type="auto"/>
            <w:hideMark/>
          </w:tcPr>
          <w:p w14:paraId="24715DA2" w14:textId="77777777" w:rsidR="00707992" w:rsidRPr="00B562A4" w:rsidRDefault="00707992" w:rsidP="00707992">
            <w:pPr>
              <w:spacing w:before="120"/>
              <w:jc w:val="both"/>
              <w:rPr>
                <w:rFonts w:ascii="Cambria" w:eastAsia="Times New Roman" w:hAnsi="Cambria" w:cs="Times New Roman"/>
                <w:sz w:val="24"/>
                <w:szCs w:val="24"/>
                <w:lang w:eastAsia="sl-SI"/>
                <w14:ligatures w14:val="none"/>
              </w:rPr>
            </w:pPr>
            <w:r w:rsidRPr="00B562A4">
              <w:rPr>
                <w:rFonts w:ascii="Cambria" w:eastAsia="Times New Roman" w:hAnsi="Cambria" w:cs="Times New Roman"/>
                <w:sz w:val="24"/>
                <w:szCs w:val="24"/>
                <w:lang w:eastAsia="sl-SI"/>
                <w14:ligatures w14:val="none"/>
              </w:rPr>
              <w:t>karte vodnega območja v ustreznem merilu, vključno z mejami povodij, porečij in, kjer obstajajo, obalnih območij, ki prikazujejo topografijo in rabo tal;</w:t>
            </w:r>
          </w:p>
        </w:tc>
      </w:tr>
    </w:tbl>
    <w:p w14:paraId="295A3C24" w14:textId="77777777" w:rsidR="00707992" w:rsidRPr="00B562A4" w:rsidRDefault="00707992" w:rsidP="00707992">
      <w:pPr>
        <w:shd w:val="clear" w:color="auto" w:fill="FFFFFF"/>
        <w:rPr>
          <w:rFonts w:ascii="Cambria" w:eastAsia="Times New Roman" w:hAnsi="Cambria" w:cs="Times New Roman"/>
          <w:vanish/>
          <w:color w:val="000000"/>
          <w:sz w:val="24"/>
          <w:szCs w:val="24"/>
          <w:lang w:eastAsia="sl-SI"/>
          <w14:ligatures w14:val="none"/>
        </w:rPr>
      </w:pPr>
    </w:p>
    <w:tbl>
      <w:tblPr>
        <w:tblW w:w="5000" w:type="pct"/>
        <w:tblCellMar>
          <w:left w:w="0" w:type="dxa"/>
          <w:right w:w="0" w:type="dxa"/>
        </w:tblCellMar>
        <w:tblLook w:val="04A0" w:firstRow="1" w:lastRow="0" w:firstColumn="1" w:lastColumn="0" w:noHBand="0" w:noVBand="1"/>
      </w:tblPr>
      <w:tblGrid>
        <w:gridCol w:w="315"/>
        <w:gridCol w:w="8757"/>
      </w:tblGrid>
      <w:tr w:rsidR="00707992" w:rsidRPr="00B562A4" w14:paraId="363F8F46" w14:textId="77777777">
        <w:tc>
          <w:tcPr>
            <w:tcW w:w="0" w:type="auto"/>
            <w:hideMark/>
          </w:tcPr>
          <w:p w14:paraId="05C20633" w14:textId="77777777" w:rsidR="00707992" w:rsidRPr="00B562A4" w:rsidRDefault="00707992" w:rsidP="00707992">
            <w:pPr>
              <w:spacing w:before="120"/>
              <w:jc w:val="both"/>
              <w:rPr>
                <w:rFonts w:ascii="Cambria" w:eastAsia="Times New Roman" w:hAnsi="Cambria" w:cs="Times New Roman"/>
                <w:sz w:val="24"/>
                <w:szCs w:val="24"/>
                <w:lang w:eastAsia="sl-SI"/>
                <w14:ligatures w14:val="none"/>
              </w:rPr>
            </w:pPr>
            <w:r w:rsidRPr="00B562A4">
              <w:rPr>
                <w:rFonts w:ascii="Cambria" w:eastAsia="Times New Roman" w:hAnsi="Cambria" w:cs="Times New Roman"/>
                <w:sz w:val="24"/>
                <w:szCs w:val="24"/>
                <w:lang w:eastAsia="sl-SI"/>
                <w14:ligatures w14:val="none"/>
              </w:rPr>
              <w:t>(b)</w:t>
            </w:r>
          </w:p>
        </w:tc>
        <w:tc>
          <w:tcPr>
            <w:tcW w:w="0" w:type="auto"/>
            <w:hideMark/>
          </w:tcPr>
          <w:p w14:paraId="7F749330" w14:textId="77777777" w:rsidR="00707992" w:rsidRPr="00B562A4" w:rsidRDefault="00707992" w:rsidP="00707992">
            <w:pPr>
              <w:spacing w:before="120"/>
              <w:jc w:val="both"/>
              <w:rPr>
                <w:rFonts w:ascii="Cambria" w:eastAsia="Times New Roman" w:hAnsi="Cambria" w:cs="Times New Roman"/>
                <w:sz w:val="24"/>
                <w:szCs w:val="24"/>
                <w:lang w:eastAsia="sl-SI"/>
                <w14:ligatures w14:val="none"/>
              </w:rPr>
            </w:pPr>
            <w:r w:rsidRPr="00B562A4">
              <w:rPr>
                <w:rFonts w:ascii="Cambria" w:eastAsia="Times New Roman" w:hAnsi="Cambria" w:cs="Times New Roman"/>
                <w:sz w:val="24"/>
                <w:szCs w:val="24"/>
                <w:lang w:eastAsia="sl-SI"/>
                <w14:ligatures w14:val="none"/>
              </w:rPr>
              <w:t>opis preteklih poplav, ki so imele znatne škodljive posledice za zdravje ljudi, okolje, kulturno dediščino in gospodarske dejavnosti in okolje ter za katere še zmeraj obstaja velika verjetnost, da se bodo v prihodnosti ponovile, vključno z njihovim obsegom in odtočnimi potmi poplavnih voda ter oceno škodljivih posledic, ki so jih povzročile;</w:t>
            </w:r>
          </w:p>
        </w:tc>
      </w:tr>
    </w:tbl>
    <w:p w14:paraId="3F684D91" w14:textId="77777777" w:rsidR="00707992" w:rsidRPr="00B562A4" w:rsidRDefault="00707992" w:rsidP="00707992">
      <w:pPr>
        <w:shd w:val="clear" w:color="auto" w:fill="FFFFFF"/>
        <w:rPr>
          <w:rFonts w:ascii="Cambria" w:eastAsia="Times New Roman" w:hAnsi="Cambria" w:cs="Times New Roman"/>
          <w:vanish/>
          <w:color w:val="000000"/>
          <w:sz w:val="24"/>
          <w:szCs w:val="24"/>
          <w:lang w:eastAsia="sl-SI"/>
          <w14:ligatures w14:val="none"/>
        </w:rPr>
      </w:pPr>
    </w:p>
    <w:tbl>
      <w:tblPr>
        <w:tblW w:w="5000" w:type="pct"/>
        <w:tblCellMar>
          <w:left w:w="0" w:type="dxa"/>
          <w:right w:w="0" w:type="dxa"/>
        </w:tblCellMar>
        <w:tblLook w:val="04A0" w:firstRow="1" w:lastRow="0" w:firstColumn="1" w:lastColumn="0" w:noHBand="0" w:noVBand="1"/>
      </w:tblPr>
      <w:tblGrid>
        <w:gridCol w:w="290"/>
        <w:gridCol w:w="8782"/>
      </w:tblGrid>
      <w:tr w:rsidR="00707992" w:rsidRPr="00B562A4" w14:paraId="611FB844" w14:textId="77777777">
        <w:tc>
          <w:tcPr>
            <w:tcW w:w="0" w:type="auto"/>
            <w:hideMark/>
          </w:tcPr>
          <w:p w14:paraId="1F74850D" w14:textId="77777777" w:rsidR="00707992" w:rsidRPr="00B562A4" w:rsidRDefault="00707992" w:rsidP="00707992">
            <w:pPr>
              <w:spacing w:before="120"/>
              <w:jc w:val="both"/>
              <w:rPr>
                <w:rFonts w:ascii="Cambria" w:eastAsia="Times New Roman" w:hAnsi="Cambria" w:cs="Times New Roman"/>
                <w:sz w:val="24"/>
                <w:szCs w:val="24"/>
                <w:lang w:eastAsia="sl-SI"/>
                <w14:ligatures w14:val="none"/>
              </w:rPr>
            </w:pPr>
            <w:r w:rsidRPr="00B562A4">
              <w:rPr>
                <w:rFonts w:ascii="Cambria" w:eastAsia="Times New Roman" w:hAnsi="Cambria" w:cs="Times New Roman"/>
                <w:sz w:val="24"/>
                <w:szCs w:val="24"/>
                <w:lang w:eastAsia="sl-SI"/>
                <w14:ligatures w14:val="none"/>
              </w:rPr>
              <w:t>(c)</w:t>
            </w:r>
          </w:p>
        </w:tc>
        <w:tc>
          <w:tcPr>
            <w:tcW w:w="0" w:type="auto"/>
            <w:hideMark/>
          </w:tcPr>
          <w:p w14:paraId="5421013D" w14:textId="77777777" w:rsidR="00707992" w:rsidRPr="00B562A4" w:rsidRDefault="00707992" w:rsidP="00707992">
            <w:pPr>
              <w:spacing w:before="120"/>
              <w:jc w:val="both"/>
              <w:rPr>
                <w:rFonts w:ascii="Cambria" w:eastAsia="Times New Roman" w:hAnsi="Cambria" w:cs="Times New Roman"/>
                <w:sz w:val="24"/>
                <w:szCs w:val="24"/>
                <w:lang w:eastAsia="sl-SI"/>
                <w14:ligatures w14:val="none"/>
              </w:rPr>
            </w:pPr>
            <w:r w:rsidRPr="00B562A4">
              <w:rPr>
                <w:rFonts w:ascii="Cambria" w:eastAsia="Times New Roman" w:hAnsi="Cambria" w:cs="Times New Roman"/>
                <w:sz w:val="24"/>
                <w:szCs w:val="24"/>
                <w:lang w:eastAsia="sl-SI"/>
                <w14:ligatures w14:val="none"/>
              </w:rPr>
              <w:t>opis večjih poplav, ki so se zgodile v preteklosti in za katere se lahko pričakuje, da bi se lahko s podobnimi posledicami ponovile;</w:t>
            </w:r>
          </w:p>
          <w:p w14:paraId="11395FDF" w14:textId="77777777" w:rsidR="00707992" w:rsidRPr="00B562A4" w:rsidRDefault="00707992" w:rsidP="00707992">
            <w:pPr>
              <w:spacing w:before="120"/>
              <w:jc w:val="both"/>
              <w:rPr>
                <w:rFonts w:ascii="Cambria" w:eastAsia="Times New Roman" w:hAnsi="Cambria" w:cs="Times New Roman"/>
                <w:sz w:val="24"/>
                <w:szCs w:val="24"/>
                <w:lang w:eastAsia="sl-SI"/>
                <w14:ligatures w14:val="none"/>
              </w:rPr>
            </w:pPr>
            <w:r w:rsidRPr="00B562A4">
              <w:rPr>
                <w:rFonts w:ascii="Cambria" w:eastAsia="Times New Roman" w:hAnsi="Cambria" w:cs="Times New Roman"/>
                <w:sz w:val="24"/>
                <w:szCs w:val="24"/>
                <w:lang w:eastAsia="sl-SI"/>
                <w14:ligatures w14:val="none"/>
              </w:rPr>
              <w:t>glede na posebne potrebe držav članic, pa vsebuje tudi:</w:t>
            </w:r>
          </w:p>
        </w:tc>
      </w:tr>
    </w:tbl>
    <w:p w14:paraId="18ECE2C5" w14:textId="77777777" w:rsidR="00707992" w:rsidRPr="00B562A4" w:rsidRDefault="00707992" w:rsidP="00707992">
      <w:pPr>
        <w:shd w:val="clear" w:color="auto" w:fill="FFFFFF"/>
        <w:rPr>
          <w:rFonts w:ascii="Cambria" w:eastAsia="Times New Roman" w:hAnsi="Cambria" w:cs="Times New Roman"/>
          <w:vanish/>
          <w:color w:val="000000"/>
          <w:sz w:val="24"/>
          <w:szCs w:val="24"/>
          <w:lang w:eastAsia="sl-SI"/>
          <w14:ligatures w14:val="none"/>
        </w:rPr>
      </w:pPr>
    </w:p>
    <w:tbl>
      <w:tblPr>
        <w:tblW w:w="5000" w:type="pct"/>
        <w:tblCellMar>
          <w:left w:w="0" w:type="dxa"/>
          <w:right w:w="0" w:type="dxa"/>
        </w:tblCellMar>
        <w:tblLook w:val="04A0" w:firstRow="1" w:lastRow="0" w:firstColumn="1" w:lastColumn="0" w:noHBand="0" w:noVBand="1"/>
      </w:tblPr>
      <w:tblGrid>
        <w:gridCol w:w="317"/>
        <w:gridCol w:w="8755"/>
      </w:tblGrid>
      <w:tr w:rsidR="00707992" w:rsidRPr="00B562A4" w14:paraId="2A4030ED" w14:textId="77777777">
        <w:tc>
          <w:tcPr>
            <w:tcW w:w="0" w:type="auto"/>
            <w:hideMark/>
          </w:tcPr>
          <w:p w14:paraId="52C45FC7" w14:textId="77777777" w:rsidR="00707992" w:rsidRPr="00B562A4" w:rsidRDefault="00707992" w:rsidP="00707992">
            <w:pPr>
              <w:spacing w:before="120"/>
              <w:jc w:val="both"/>
              <w:rPr>
                <w:rFonts w:ascii="Cambria" w:eastAsia="Times New Roman" w:hAnsi="Cambria" w:cs="Times New Roman"/>
                <w:sz w:val="24"/>
                <w:szCs w:val="24"/>
                <w:lang w:eastAsia="sl-SI"/>
                <w14:ligatures w14:val="none"/>
              </w:rPr>
            </w:pPr>
            <w:r w:rsidRPr="00B562A4">
              <w:rPr>
                <w:rFonts w:ascii="Cambria" w:eastAsia="Times New Roman" w:hAnsi="Cambria" w:cs="Times New Roman"/>
                <w:sz w:val="24"/>
                <w:szCs w:val="24"/>
                <w:lang w:eastAsia="sl-SI"/>
                <w14:ligatures w14:val="none"/>
              </w:rPr>
              <w:t>(d)</w:t>
            </w:r>
          </w:p>
        </w:tc>
        <w:tc>
          <w:tcPr>
            <w:tcW w:w="0" w:type="auto"/>
            <w:hideMark/>
          </w:tcPr>
          <w:p w14:paraId="529B48AF" w14:textId="77777777" w:rsidR="00707992" w:rsidRPr="00B562A4" w:rsidRDefault="00707992" w:rsidP="00707992">
            <w:pPr>
              <w:spacing w:before="120"/>
              <w:jc w:val="both"/>
              <w:rPr>
                <w:rFonts w:ascii="Cambria" w:eastAsia="Times New Roman" w:hAnsi="Cambria" w:cs="Times New Roman"/>
                <w:sz w:val="24"/>
                <w:szCs w:val="24"/>
                <w:lang w:eastAsia="sl-SI"/>
                <w14:ligatures w14:val="none"/>
              </w:rPr>
            </w:pPr>
            <w:r w:rsidRPr="00B562A4">
              <w:rPr>
                <w:rFonts w:ascii="Cambria" w:eastAsia="Times New Roman" w:hAnsi="Cambria" w:cs="Times New Roman"/>
                <w:sz w:val="24"/>
                <w:szCs w:val="24"/>
                <w:lang w:eastAsia="sl-SI"/>
                <w14:ligatures w14:val="none"/>
              </w:rPr>
              <w:t>oceno morebitnih škodljivih posledic prihodnjih poplav za zdravje ljudi, okolje, kulturno dediščino in gospodarske dejavnosti, ob upoštevanju, kolikor je to mogoče, dejavnikov, kot so topografija, položaj vodotokov ter njihove splošne hidrološke in geomorfološke značilnosti, vključno s poplavnimi območji kot naravnimi zadrževalnimi območji, učinkovitost obstoječe infrastrukture, ki jo je ustvaril človek za zaščito pred poplavami, položaj naseljenih območij, območij gospodarskih dejavnosti in dolgoročnega razvoja, vključno z vplivi podnebnih sprememb na pojav poplav.</w:t>
            </w:r>
          </w:p>
        </w:tc>
      </w:tr>
    </w:tbl>
    <w:p w14:paraId="7BA1B548" w14:textId="77777777" w:rsidR="00707992" w:rsidRPr="00B562A4" w:rsidRDefault="00707992" w:rsidP="00707992">
      <w:pPr>
        <w:shd w:val="clear" w:color="auto" w:fill="FFFFFF"/>
        <w:spacing w:before="120"/>
        <w:jc w:val="both"/>
        <w:rPr>
          <w:rFonts w:ascii="Cambria" w:eastAsia="Times New Roman" w:hAnsi="Cambria" w:cs="Times New Roman"/>
          <w:color w:val="000000"/>
          <w:sz w:val="24"/>
          <w:szCs w:val="24"/>
          <w:lang w:eastAsia="sl-SI"/>
          <w14:ligatures w14:val="none"/>
        </w:rPr>
      </w:pPr>
      <w:r w:rsidRPr="00B562A4">
        <w:rPr>
          <w:rFonts w:ascii="Cambria" w:eastAsia="Times New Roman" w:hAnsi="Cambria" w:cs="Times New Roman"/>
          <w:color w:val="000000"/>
          <w:sz w:val="24"/>
          <w:szCs w:val="24"/>
          <w:lang w:eastAsia="sl-SI"/>
          <w14:ligatures w14:val="none"/>
        </w:rPr>
        <w:lastRenderedPageBreak/>
        <w:t>3.   V primeru mednarodnih vodnih območij ali območij upravljanja iz člena 3(2)(b), ki so skupne dvema ali več državam članicam, države članice zagotovijo izmenjavo ustreznih informacij med zadevnimi pristojnimi organi.</w:t>
      </w:r>
    </w:p>
    <w:p w14:paraId="05B48C69" w14:textId="77777777" w:rsidR="00707992" w:rsidRPr="00B562A4" w:rsidRDefault="00707992" w:rsidP="00707992">
      <w:pPr>
        <w:shd w:val="clear" w:color="auto" w:fill="FFFFFF"/>
        <w:spacing w:before="120"/>
        <w:jc w:val="both"/>
        <w:rPr>
          <w:rFonts w:ascii="Cambria" w:eastAsia="Times New Roman" w:hAnsi="Cambria" w:cs="Times New Roman"/>
          <w:color w:val="000000"/>
          <w:sz w:val="24"/>
          <w:szCs w:val="24"/>
          <w:lang w:eastAsia="sl-SI"/>
          <w14:ligatures w14:val="none"/>
        </w:rPr>
      </w:pPr>
      <w:r w:rsidRPr="00B562A4">
        <w:rPr>
          <w:rFonts w:ascii="Cambria" w:eastAsia="Times New Roman" w:hAnsi="Cambria" w:cs="Times New Roman"/>
          <w:color w:val="000000"/>
          <w:sz w:val="24"/>
          <w:szCs w:val="24"/>
          <w:lang w:eastAsia="sl-SI"/>
          <w14:ligatures w14:val="none"/>
        </w:rPr>
        <w:t>4.   Države članice izdelajo predhodno oceno poplavne ogroženosti do 22. decembra 2011.</w:t>
      </w:r>
    </w:p>
    <w:p w14:paraId="7A7B585B" w14:textId="77777777" w:rsidR="00707992" w:rsidRPr="00B562A4" w:rsidRDefault="00707992" w:rsidP="00707992">
      <w:pPr>
        <w:shd w:val="clear" w:color="auto" w:fill="FFFFFF"/>
        <w:spacing w:before="360" w:after="120"/>
        <w:jc w:val="center"/>
        <w:rPr>
          <w:rFonts w:ascii="Cambria" w:eastAsia="Times New Roman" w:hAnsi="Cambria" w:cs="Times New Roman"/>
          <w:i/>
          <w:iCs/>
          <w:color w:val="000000"/>
          <w:sz w:val="24"/>
          <w:szCs w:val="24"/>
          <w:lang w:eastAsia="sl-SI"/>
          <w14:ligatures w14:val="none"/>
        </w:rPr>
      </w:pPr>
      <w:r w:rsidRPr="00B562A4">
        <w:rPr>
          <w:rFonts w:ascii="Cambria" w:eastAsia="Times New Roman" w:hAnsi="Cambria" w:cs="Times New Roman"/>
          <w:i/>
          <w:iCs/>
          <w:color w:val="000000"/>
          <w:sz w:val="24"/>
          <w:szCs w:val="24"/>
          <w:lang w:eastAsia="sl-SI"/>
          <w14:ligatures w14:val="none"/>
        </w:rPr>
        <w:t>Člen 5</w:t>
      </w:r>
    </w:p>
    <w:p w14:paraId="68F98E72" w14:textId="77777777" w:rsidR="00707992" w:rsidRPr="00B562A4" w:rsidRDefault="00707992" w:rsidP="00707992">
      <w:pPr>
        <w:shd w:val="clear" w:color="auto" w:fill="FFFFFF"/>
        <w:spacing w:before="120"/>
        <w:jc w:val="both"/>
        <w:rPr>
          <w:rFonts w:ascii="Cambria" w:eastAsia="Times New Roman" w:hAnsi="Cambria" w:cs="Times New Roman"/>
          <w:color w:val="000000"/>
          <w:sz w:val="24"/>
          <w:szCs w:val="24"/>
          <w:lang w:eastAsia="sl-SI"/>
          <w14:ligatures w14:val="none"/>
        </w:rPr>
      </w:pPr>
      <w:r w:rsidRPr="00B562A4">
        <w:rPr>
          <w:rFonts w:ascii="Cambria" w:eastAsia="Times New Roman" w:hAnsi="Cambria" w:cs="Times New Roman"/>
          <w:color w:val="000000"/>
          <w:sz w:val="24"/>
          <w:szCs w:val="24"/>
          <w:lang w:eastAsia="sl-SI"/>
          <w14:ligatures w14:val="none"/>
        </w:rPr>
        <w:t>1.   Na podlagi ocene poplavne ogroženosti iz člena 4 države članice za vsako vodno območje ali območje upravljanja iz člena 3(2)(b) ali del mednarodnega vodnega območja, ki leži na njihovem ozemlju, opredelijo tista območja, za katera država članica ugotovi, da obstaja možnost pomembne poplavne ogroženosti ali verjetnost, da bi se ta lahko pojavila.</w:t>
      </w:r>
    </w:p>
    <w:p w14:paraId="48DAA120" w14:textId="77777777" w:rsidR="00707992" w:rsidRPr="00B562A4" w:rsidRDefault="00707992" w:rsidP="00707992">
      <w:pPr>
        <w:shd w:val="clear" w:color="auto" w:fill="FFFFFF"/>
        <w:spacing w:before="120"/>
        <w:jc w:val="both"/>
        <w:rPr>
          <w:rFonts w:ascii="Cambria" w:eastAsia="Times New Roman" w:hAnsi="Cambria" w:cs="Times New Roman"/>
          <w:color w:val="000000"/>
          <w:sz w:val="24"/>
          <w:szCs w:val="24"/>
          <w:lang w:eastAsia="sl-SI"/>
          <w14:ligatures w14:val="none"/>
        </w:rPr>
      </w:pPr>
      <w:r w:rsidRPr="00B562A4">
        <w:rPr>
          <w:rFonts w:ascii="Cambria" w:eastAsia="Times New Roman" w:hAnsi="Cambria" w:cs="Times New Roman"/>
          <w:color w:val="000000"/>
          <w:sz w:val="24"/>
          <w:szCs w:val="24"/>
          <w:lang w:eastAsia="sl-SI"/>
          <w14:ligatures w14:val="none"/>
        </w:rPr>
        <w:t>2.   Opredelitev območij iz odstavka 1, ki pripadajo mednarodnemu vodnemu območju ali območju upravljanja iz člena 3(2)(b), ki je skupna z drugo državo članico, se uskladi z zadevno državo članico.</w:t>
      </w:r>
    </w:p>
    <w:p w14:paraId="7A399B00" w14:textId="77777777" w:rsidR="00707992" w:rsidRPr="00B562A4" w:rsidRDefault="00707992" w:rsidP="00707992">
      <w:pPr>
        <w:pStyle w:val="oj-ti-section-1"/>
        <w:shd w:val="clear" w:color="auto" w:fill="FFFFFF"/>
        <w:spacing w:before="480" w:beforeAutospacing="0" w:after="0" w:afterAutospacing="0"/>
        <w:jc w:val="center"/>
        <w:rPr>
          <w:rFonts w:ascii="Cambria" w:hAnsi="Cambria"/>
          <w:b/>
          <w:bCs/>
          <w:color w:val="000000"/>
        </w:rPr>
      </w:pPr>
      <w:r w:rsidRPr="00B562A4">
        <w:rPr>
          <w:rFonts w:ascii="Cambria" w:hAnsi="Cambria"/>
          <w:b/>
          <w:bCs/>
          <w:color w:val="000000"/>
        </w:rPr>
        <w:t>POGLAVJE III</w:t>
      </w:r>
    </w:p>
    <w:p w14:paraId="0EFC45EA" w14:textId="77777777" w:rsidR="00707992" w:rsidRPr="00B562A4" w:rsidRDefault="00707992" w:rsidP="00707992">
      <w:pPr>
        <w:pStyle w:val="oj-ti-section-2"/>
        <w:shd w:val="clear" w:color="auto" w:fill="FFFFFF"/>
        <w:spacing w:before="75" w:beforeAutospacing="0" w:after="120" w:afterAutospacing="0"/>
        <w:jc w:val="center"/>
        <w:rPr>
          <w:rFonts w:ascii="Cambria" w:hAnsi="Cambria"/>
          <w:b/>
          <w:bCs/>
          <w:color w:val="000000"/>
        </w:rPr>
      </w:pPr>
      <w:r w:rsidRPr="00B562A4">
        <w:rPr>
          <w:rFonts w:ascii="Cambria" w:hAnsi="Cambria"/>
          <w:b/>
          <w:bCs/>
          <w:color w:val="000000"/>
        </w:rPr>
        <w:t>KARTE POPLAVNE NEVARNOSTI IN KARTE POPLAVNE OGROŽENOSTI</w:t>
      </w:r>
    </w:p>
    <w:p w14:paraId="7F12DFAC" w14:textId="77777777" w:rsidR="00707992" w:rsidRPr="00B562A4" w:rsidRDefault="00707992" w:rsidP="00707992">
      <w:pPr>
        <w:pStyle w:val="oj-ti-art"/>
        <w:shd w:val="clear" w:color="auto" w:fill="FFFFFF"/>
        <w:spacing w:before="360" w:beforeAutospacing="0" w:after="120" w:afterAutospacing="0"/>
        <w:jc w:val="center"/>
        <w:rPr>
          <w:rFonts w:ascii="Cambria" w:hAnsi="Cambria"/>
          <w:i/>
          <w:iCs/>
          <w:color w:val="000000"/>
        </w:rPr>
      </w:pPr>
      <w:r w:rsidRPr="00B562A4">
        <w:rPr>
          <w:rFonts w:ascii="Cambria" w:hAnsi="Cambria"/>
          <w:i/>
          <w:iCs/>
          <w:color w:val="000000"/>
        </w:rPr>
        <w:t>Člen 6</w:t>
      </w:r>
    </w:p>
    <w:p w14:paraId="66CE6B72" w14:textId="77777777" w:rsidR="00707992" w:rsidRPr="00B562A4" w:rsidRDefault="00707992" w:rsidP="00707992">
      <w:pPr>
        <w:pStyle w:val="oj-normal"/>
        <w:shd w:val="clear" w:color="auto" w:fill="FFFFFF"/>
        <w:spacing w:before="120" w:beforeAutospacing="0" w:after="0" w:afterAutospacing="0"/>
        <w:jc w:val="both"/>
        <w:rPr>
          <w:rFonts w:ascii="Cambria" w:hAnsi="Cambria"/>
          <w:color w:val="000000"/>
        </w:rPr>
      </w:pPr>
      <w:r w:rsidRPr="00B562A4">
        <w:rPr>
          <w:rFonts w:ascii="Cambria" w:hAnsi="Cambria"/>
          <w:color w:val="000000"/>
        </w:rPr>
        <w:t>1.   Države članice na ravni vodnega območja ali območja upravljanja iz člena 3(2)(b) za območja, določena v členu 5(1), pripravijo karte poplavne nevarnosti in karte poplavne ogroženosti v najustreznejšem merilu.</w:t>
      </w:r>
    </w:p>
    <w:p w14:paraId="17FCE63C" w14:textId="77777777" w:rsidR="00707992" w:rsidRPr="00B562A4" w:rsidRDefault="00707992" w:rsidP="00707992">
      <w:pPr>
        <w:pStyle w:val="oj-normal"/>
        <w:shd w:val="clear" w:color="auto" w:fill="FFFFFF"/>
        <w:spacing w:before="120" w:beforeAutospacing="0" w:after="0" w:afterAutospacing="0"/>
        <w:jc w:val="both"/>
        <w:rPr>
          <w:rFonts w:ascii="Cambria" w:hAnsi="Cambria"/>
          <w:color w:val="000000"/>
        </w:rPr>
      </w:pPr>
      <w:r w:rsidRPr="00B562A4">
        <w:rPr>
          <w:rFonts w:ascii="Cambria" w:hAnsi="Cambria"/>
          <w:color w:val="000000"/>
        </w:rPr>
        <w:t>2.   Za pripravo kart poplavne nevarnosti in kart poplavne ogroženosti za območja, ki so določena v členu 5 in so skupna z drugo državo članico, je potrebna predhodna izmenjava podatkov med zadevnimi državami članicami.</w:t>
      </w:r>
    </w:p>
    <w:p w14:paraId="4047BEF1" w14:textId="77777777" w:rsidR="00707992" w:rsidRPr="00B562A4" w:rsidRDefault="00707992" w:rsidP="00707992">
      <w:pPr>
        <w:shd w:val="clear" w:color="auto" w:fill="FFFFFF"/>
        <w:spacing w:before="120"/>
        <w:jc w:val="both"/>
        <w:rPr>
          <w:rFonts w:ascii="Cambria" w:eastAsia="Times New Roman" w:hAnsi="Cambria" w:cs="Times New Roman"/>
          <w:color w:val="000000"/>
          <w:sz w:val="24"/>
          <w:szCs w:val="24"/>
          <w:lang w:eastAsia="sl-SI"/>
          <w14:ligatures w14:val="none"/>
        </w:rPr>
      </w:pPr>
      <w:r w:rsidRPr="00B562A4">
        <w:rPr>
          <w:rFonts w:ascii="Cambria" w:eastAsia="Times New Roman" w:hAnsi="Cambria" w:cs="Times New Roman"/>
          <w:color w:val="000000"/>
          <w:sz w:val="24"/>
          <w:szCs w:val="24"/>
          <w:lang w:eastAsia="sl-SI"/>
          <w14:ligatures w14:val="none"/>
        </w:rPr>
        <w:t>3.   Karte poplavne nevarnosti zajemajo geografska območja, na katerih lahko pride do naslednjih vrst poplav:</w:t>
      </w:r>
    </w:p>
    <w:tbl>
      <w:tblPr>
        <w:tblW w:w="5000" w:type="pct"/>
        <w:tblCellMar>
          <w:left w:w="0" w:type="dxa"/>
          <w:right w:w="0" w:type="dxa"/>
        </w:tblCellMar>
        <w:tblLook w:val="04A0" w:firstRow="1" w:lastRow="0" w:firstColumn="1" w:lastColumn="0" w:noHBand="0" w:noVBand="1"/>
      </w:tblPr>
      <w:tblGrid>
        <w:gridCol w:w="324"/>
        <w:gridCol w:w="8748"/>
      </w:tblGrid>
      <w:tr w:rsidR="00707992" w:rsidRPr="00B562A4" w14:paraId="1BF841C5" w14:textId="77777777">
        <w:tc>
          <w:tcPr>
            <w:tcW w:w="0" w:type="auto"/>
            <w:hideMark/>
          </w:tcPr>
          <w:p w14:paraId="1B74FF31" w14:textId="77777777" w:rsidR="00707992" w:rsidRPr="00B562A4" w:rsidRDefault="00707992" w:rsidP="00707992">
            <w:pPr>
              <w:spacing w:before="120"/>
              <w:jc w:val="both"/>
              <w:rPr>
                <w:rFonts w:ascii="Cambria" w:eastAsia="Times New Roman" w:hAnsi="Cambria" w:cs="Times New Roman"/>
                <w:sz w:val="24"/>
                <w:szCs w:val="24"/>
                <w:lang w:eastAsia="sl-SI"/>
                <w14:ligatures w14:val="none"/>
              </w:rPr>
            </w:pPr>
            <w:r w:rsidRPr="00B562A4">
              <w:rPr>
                <w:rFonts w:ascii="Cambria" w:eastAsia="Times New Roman" w:hAnsi="Cambria" w:cs="Times New Roman"/>
                <w:sz w:val="24"/>
                <w:szCs w:val="24"/>
                <w:lang w:eastAsia="sl-SI"/>
                <w14:ligatures w14:val="none"/>
              </w:rPr>
              <w:t>(a)</w:t>
            </w:r>
          </w:p>
        </w:tc>
        <w:tc>
          <w:tcPr>
            <w:tcW w:w="0" w:type="auto"/>
            <w:hideMark/>
          </w:tcPr>
          <w:p w14:paraId="726EB3E5" w14:textId="77777777" w:rsidR="00707992" w:rsidRPr="00B562A4" w:rsidRDefault="00707992" w:rsidP="00707992">
            <w:pPr>
              <w:spacing w:before="120"/>
              <w:jc w:val="both"/>
              <w:rPr>
                <w:rFonts w:ascii="Cambria" w:eastAsia="Times New Roman" w:hAnsi="Cambria" w:cs="Times New Roman"/>
                <w:sz w:val="24"/>
                <w:szCs w:val="24"/>
                <w:lang w:eastAsia="sl-SI"/>
                <w14:ligatures w14:val="none"/>
              </w:rPr>
            </w:pPr>
            <w:r w:rsidRPr="00B562A4">
              <w:rPr>
                <w:rFonts w:ascii="Cambria" w:eastAsia="Times New Roman" w:hAnsi="Cambria" w:cs="Times New Roman"/>
                <w:sz w:val="24"/>
                <w:szCs w:val="24"/>
                <w:lang w:eastAsia="sl-SI"/>
                <w14:ligatures w14:val="none"/>
              </w:rPr>
              <w:t>poplav z majhno verjetnostjo oziroma poplav, kot posledice izrednih dogodkov;</w:t>
            </w:r>
          </w:p>
        </w:tc>
      </w:tr>
    </w:tbl>
    <w:p w14:paraId="1DFFD37F" w14:textId="77777777" w:rsidR="00707992" w:rsidRPr="00B562A4" w:rsidRDefault="00707992" w:rsidP="00707992">
      <w:pPr>
        <w:shd w:val="clear" w:color="auto" w:fill="FFFFFF"/>
        <w:rPr>
          <w:rFonts w:ascii="Cambria" w:eastAsia="Times New Roman" w:hAnsi="Cambria" w:cs="Times New Roman"/>
          <w:vanish/>
          <w:color w:val="000000"/>
          <w:sz w:val="24"/>
          <w:szCs w:val="24"/>
          <w:lang w:eastAsia="sl-SI"/>
          <w14:ligatures w14:val="none"/>
        </w:rPr>
      </w:pPr>
    </w:p>
    <w:tbl>
      <w:tblPr>
        <w:tblW w:w="5000" w:type="pct"/>
        <w:tblCellMar>
          <w:left w:w="0" w:type="dxa"/>
          <w:right w:w="0" w:type="dxa"/>
        </w:tblCellMar>
        <w:tblLook w:val="04A0" w:firstRow="1" w:lastRow="0" w:firstColumn="1" w:lastColumn="0" w:noHBand="0" w:noVBand="1"/>
      </w:tblPr>
      <w:tblGrid>
        <w:gridCol w:w="423"/>
        <w:gridCol w:w="8649"/>
      </w:tblGrid>
      <w:tr w:rsidR="00707992" w:rsidRPr="00B562A4" w14:paraId="4A535AFF" w14:textId="77777777">
        <w:tc>
          <w:tcPr>
            <w:tcW w:w="0" w:type="auto"/>
            <w:hideMark/>
          </w:tcPr>
          <w:p w14:paraId="7A617A10" w14:textId="77777777" w:rsidR="00707992" w:rsidRPr="00B562A4" w:rsidRDefault="00707992" w:rsidP="00707992">
            <w:pPr>
              <w:spacing w:before="120"/>
              <w:jc w:val="both"/>
              <w:rPr>
                <w:rFonts w:ascii="Cambria" w:eastAsia="Times New Roman" w:hAnsi="Cambria" w:cs="Times New Roman"/>
                <w:sz w:val="24"/>
                <w:szCs w:val="24"/>
                <w:lang w:eastAsia="sl-SI"/>
                <w14:ligatures w14:val="none"/>
              </w:rPr>
            </w:pPr>
            <w:r w:rsidRPr="00B562A4">
              <w:rPr>
                <w:rFonts w:ascii="Cambria" w:eastAsia="Times New Roman" w:hAnsi="Cambria" w:cs="Times New Roman"/>
                <w:sz w:val="24"/>
                <w:szCs w:val="24"/>
                <w:lang w:eastAsia="sl-SI"/>
                <w14:ligatures w14:val="none"/>
              </w:rPr>
              <w:t>(b)</w:t>
            </w:r>
          </w:p>
        </w:tc>
        <w:tc>
          <w:tcPr>
            <w:tcW w:w="0" w:type="auto"/>
            <w:hideMark/>
          </w:tcPr>
          <w:p w14:paraId="0894AA3B" w14:textId="77777777" w:rsidR="00707992" w:rsidRPr="00B562A4" w:rsidRDefault="00707992" w:rsidP="00707992">
            <w:pPr>
              <w:spacing w:before="120"/>
              <w:jc w:val="both"/>
              <w:rPr>
                <w:rFonts w:ascii="Cambria" w:eastAsia="Times New Roman" w:hAnsi="Cambria" w:cs="Times New Roman"/>
                <w:sz w:val="24"/>
                <w:szCs w:val="24"/>
                <w:lang w:eastAsia="sl-SI"/>
                <w14:ligatures w14:val="none"/>
              </w:rPr>
            </w:pPr>
            <w:r w:rsidRPr="00B562A4">
              <w:rPr>
                <w:rFonts w:ascii="Cambria" w:eastAsia="Times New Roman" w:hAnsi="Cambria" w:cs="Times New Roman"/>
                <w:sz w:val="24"/>
                <w:szCs w:val="24"/>
                <w:lang w:eastAsia="sl-SI"/>
                <w14:ligatures w14:val="none"/>
              </w:rPr>
              <w:t>poplav s srednjo verjetnostjo (verjetna povratna doba 100 let);</w:t>
            </w:r>
          </w:p>
        </w:tc>
      </w:tr>
    </w:tbl>
    <w:p w14:paraId="7AD6C000" w14:textId="77777777" w:rsidR="00707992" w:rsidRPr="00B562A4" w:rsidRDefault="00707992" w:rsidP="00707992">
      <w:pPr>
        <w:shd w:val="clear" w:color="auto" w:fill="FFFFFF"/>
        <w:rPr>
          <w:rFonts w:ascii="Cambria" w:eastAsia="Times New Roman" w:hAnsi="Cambria" w:cs="Times New Roman"/>
          <w:vanish/>
          <w:color w:val="000000"/>
          <w:sz w:val="24"/>
          <w:szCs w:val="24"/>
          <w:lang w:eastAsia="sl-SI"/>
          <w14:ligatures w14:val="none"/>
        </w:rPr>
      </w:pPr>
    </w:p>
    <w:tbl>
      <w:tblPr>
        <w:tblW w:w="5000" w:type="pct"/>
        <w:tblCellMar>
          <w:left w:w="0" w:type="dxa"/>
          <w:right w:w="0" w:type="dxa"/>
        </w:tblCellMar>
        <w:tblLook w:val="04A0" w:firstRow="1" w:lastRow="0" w:firstColumn="1" w:lastColumn="0" w:noHBand="0" w:noVBand="1"/>
      </w:tblPr>
      <w:tblGrid>
        <w:gridCol w:w="506"/>
        <w:gridCol w:w="8566"/>
      </w:tblGrid>
      <w:tr w:rsidR="00707992" w:rsidRPr="00B562A4" w14:paraId="1A08E12A" w14:textId="77777777">
        <w:tc>
          <w:tcPr>
            <w:tcW w:w="0" w:type="auto"/>
            <w:hideMark/>
          </w:tcPr>
          <w:p w14:paraId="1B90B843" w14:textId="77777777" w:rsidR="00707992" w:rsidRPr="00B562A4" w:rsidRDefault="00707992" w:rsidP="00707992">
            <w:pPr>
              <w:spacing w:before="120"/>
              <w:jc w:val="both"/>
              <w:rPr>
                <w:rFonts w:ascii="Cambria" w:eastAsia="Times New Roman" w:hAnsi="Cambria" w:cs="Times New Roman"/>
                <w:sz w:val="24"/>
                <w:szCs w:val="24"/>
                <w:lang w:eastAsia="sl-SI"/>
                <w14:ligatures w14:val="none"/>
              </w:rPr>
            </w:pPr>
            <w:r w:rsidRPr="00B562A4">
              <w:rPr>
                <w:rFonts w:ascii="Cambria" w:eastAsia="Times New Roman" w:hAnsi="Cambria" w:cs="Times New Roman"/>
                <w:sz w:val="24"/>
                <w:szCs w:val="24"/>
                <w:lang w:eastAsia="sl-SI"/>
                <w14:ligatures w14:val="none"/>
              </w:rPr>
              <w:t>(c)</w:t>
            </w:r>
          </w:p>
        </w:tc>
        <w:tc>
          <w:tcPr>
            <w:tcW w:w="0" w:type="auto"/>
            <w:hideMark/>
          </w:tcPr>
          <w:p w14:paraId="19F9AA59" w14:textId="77777777" w:rsidR="00707992" w:rsidRPr="00B562A4" w:rsidRDefault="00707992" w:rsidP="00707992">
            <w:pPr>
              <w:spacing w:before="120"/>
              <w:jc w:val="both"/>
              <w:rPr>
                <w:rFonts w:ascii="Cambria" w:eastAsia="Times New Roman" w:hAnsi="Cambria" w:cs="Times New Roman"/>
                <w:sz w:val="24"/>
                <w:szCs w:val="24"/>
                <w:lang w:eastAsia="sl-SI"/>
                <w14:ligatures w14:val="none"/>
              </w:rPr>
            </w:pPr>
            <w:r w:rsidRPr="00B562A4">
              <w:rPr>
                <w:rFonts w:ascii="Cambria" w:eastAsia="Times New Roman" w:hAnsi="Cambria" w:cs="Times New Roman"/>
                <w:sz w:val="24"/>
                <w:szCs w:val="24"/>
                <w:lang w:eastAsia="sl-SI"/>
                <w14:ligatures w14:val="none"/>
              </w:rPr>
              <w:t>poplav z veliko verjetnostjo, kjer je to primerno.</w:t>
            </w:r>
          </w:p>
        </w:tc>
      </w:tr>
    </w:tbl>
    <w:p w14:paraId="61B2D103" w14:textId="77777777" w:rsidR="00707992" w:rsidRPr="00B562A4" w:rsidRDefault="00707992" w:rsidP="00707992">
      <w:pPr>
        <w:shd w:val="clear" w:color="auto" w:fill="FFFFFF"/>
        <w:spacing w:before="120"/>
        <w:jc w:val="both"/>
        <w:rPr>
          <w:rFonts w:ascii="Cambria" w:eastAsia="Times New Roman" w:hAnsi="Cambria" w:cs="Times New Roman"/>
          <w:color w:val="000000"/>
          <w:sz w:val="24"/>
          <w:szCs w:val="24"/>
          <w:lang w:eastAsia="sl-SI"/>
          <w14:ligatures w14:val="none"/>
        </w:rPr>
      </w:pPr>
      <w:r w:rsidRPr="00B562A4">
        <w:rPr>
          <w:rFonts w:ascii="Cambria" w:eastAsia="Times New Roman" w:hAnsi="Cambria" w:cs="Times New Roman"/>
          <w:color w:val="000000"/>
          <w:sz w:val="24"/>
          <w:szCs w:val="24"/>
          <w:lang w:eastAsia="sl-SI"/>
          <w14:ligatures w14:val="none"/>
        </w:rPr>
        <w:t>4.   Za vsako vrsto poplav iz odstavka 3 se prikažejo naslednji podatki:</w:t>
      </w:r>
    </w:p>
    <w:tbl>
      <w:tblPr>
        <w:tblW w:w="5000" w:type="pct"/>
        <w:tblCellMar>
          <w:left w:w="0" w:type="dxa"/>
          <w:right w:w="0" w:type="dxa"/>
        </w:tblCellMar>
        <w:tblLook w:val="04A0" w:firstRow="1" w:lastRow="0" w:firstColumn="1" w:lastColumn="0" w:noHBand="0" w:noVBand="1"/>
      </w:tblPr>
      <w:tblGrid>
        <w:gridCol w:w="1594"/>
        <w:gridCol w:w="7478"/>
      </w:tblGrid>
      <w:tr w:rsidR="00707992" w:rsidRPr="00B562A4" w14:paraId="15F2BFDC" w14:textId="77777777">
        <w:tc>
          <w:tcPr>
            <w:tcW w:w="0" w:type="auto"/>
            <w:hideMark/>
          </w:tcPr>
          <w:p w14:paraId="2409483E" w14:textId="77777777" w:rsidR="00707992" w:rsidRPr="00B562A4" w:rsidRDefault="00707992" w:rsidP="00707992">
            <w:pPr>
              <w:spacing w:before="120"/>
              <w:jc w:val="both"/>
              <w:rPr>
                <w:rFonts w:ascii="Cambria" w:eastAsia="Times New Roman" w:hAnsi="Cambria" w:cs="Times New Roman"/>
                <w:sz w:val="24"/>
                <w:szCs w:val="24"/>
                <w:lang w:eastAsia="sl-SI"/>
                <w14:ligatures w14:val="none"/>
              </w:rPr>
            </w:pPr>
            <w:r w:rsidRPr="00B562A4">
              <w:rPr>
                <w:rFonts w:ascii="Cambria" w:eastAsia="Times New Roman" w:hAnsi="Cambria" w:cs="Times New Roman"/>
                <w:sz w:val="24"/>
                <w:szCs w:val="24"/>
                <w:lang w:eastAsia="sl-SI"/>
                <w14:ligatures w14:val="none"/>
              </w:rPr>
              <w:t>(a)</w:t>
            </w:r>
          </w:p>
        </w:tc>
        <w:tc>
          <w:tcPr>
            <w:tcW w:w="0" w:type="auto"/>
            <w:hideMark/>
          </w:tcPr>
          <w:p w14:paraId="1325386F" w14:textId="77777777" w:rsidR="00707992" w:rsidRPr="00B562A4" w:rsidRDefault="00707992" w:rsidP="00707992">
            <w:pPr>
              <w:spacing w:before="120"/>
              <w:jc w:val="both"/>
              <w:rPr>
                <w:rFonts w:ascii="Cambria" w:eastAsia="Times New Roman" w:hAnsi="Cambria" w:cs="Times New Roman"/>
                <w:sz w:val="24"/>
                <w:szCs w:val="24"/>
                <w:lang w:eastAsia="sl-SI"/>
                <w14:ligatures w14:val="none"/>
              </w:rPr>
            </w:pPr>
            <w:r w:rsidRPr="00B562A4">
              <w:rPr>
                <w:rFonts w:ascii="Cambria" w:eastAsia="Times New Roman" w:hAnsi="Cambria" w:cs="Times New Roman"/>
                <w:sz w:val="24"/>
                <w:szCs w:val="24"/>
                <w:lang w:eastAsia="sl-SI"/>
                <w14:ligatures w14:val="none"/>
              </w:rPr>
              <w:t>obseg poplav;</w:t>
            </w:r>
          </w:p>
        </w:tc>
      </w:tr>
    </w:tbl>
    <w:p w14:paraId="1CB723FB" w14:textId="77777777" w:rsidR="00707992" w:rsidRPr="00B562A4" w:rsidRDefault="00707992" w:rsidP="00707992">
      <w:pPr>
        <w:shd w:val="clear" w:color="auto" w:fill="FFFFFF"/>
        <w:rPr>
          <w:rFonts w:ascii="Cambria" w:eastAsia="Times New Roman" w:hAnsi="Cambria" w:cs="Times New Roman"/>
          <w:vanish/>
          <w:color w:val="000000"/>
          <w:sz w:val="24"/>
          <w:szCs w:val="24"/>
          <w:lang w:eastAsia="sl-SI"/>
          <w14:ligatures w14:val="none"/>
        </w:rPr>
      </w:pPr>
    </w:p>
    <w:tbl>
      <w:tblPr>
        <w:tblW w:w="5000" w:type="pct"/>
        <w:tblCellMar>
          <w:left w:w="0" w:type="dxa"/>
          <w:right w:w="0" w:type="dxa"/>
        </w:tblCellMar>
        <w:tblLook w:val="04A0" w:firstRow="1" w:lastRow="0" w:firstColumn="1" w:lastColumn="0" w:noHBand="0" w:noVBand="1"/>
      </w:tblPr>
      <w:tblGrid>
        <w:gridCol w:w="573"/>
        <w:gridCol w:w="8499"/>
      </w:tblGrid>
      <w:tr w:rsidR="00707992" w:rsidRPr="00B562A4" w14:paraId="44EC6DFD" w14:textId="77777777">
        <w:tc>
          <w:tcPr>
            <w:tcW w:w="0" w:type="auto"/>
            <w:hideMark/>
          </w:tcPr>
          <w:p w14:paraId="38EC0B7B" w14:textId="77777777" w:rsidR="00707992" w:rsidRPr="00B562A4" w:rsidRDefault="00707992" w:rsidP="00707992">
            <w:pPr>
              <w:spacing w:before="120"/>
              <w:jc w:val="both"/>
              <w:rPr>
                <w:rFonts w:ascii="Cambria" w:eastAsia="Times New Roman" w:hAnsi="Cambria" w:cs="Times New Roman"/>
                <w:sz w:val="24"/>
                <w:szCs w:val="24"/>
                <w:lang w:eastAsia="sl-SI"/>
                <w14:ligatures w14:val="none"/>
              </w:rPr>
            </w:pPr>
            <w:r w:rsidRPr="00B562A4">
              <w:rPr>
                <w:rFonts w:ascii="Cambria" w:eastAsia="Times New Roman" w:hAnsi="Cambria" w:cs="Times New Roman"/>
                <w:sz w:val="24"/>
                <w:szCs w:val="24"/>
                <w:lang w:eastAsia="sl-SI"/>
                <w14:ligatures w14:val="none"/>
              </w:rPr>
              <w:t>(b)</w:t>
            </w:r>
          </w:p>
        </w:tc>
        <w:tc>
          <w:tcPr>
            <w:tcW w:w="0" w:type="auto"/>
            <w:hideMark/>
          </w:tcPr>
          <w:p w14:paraId="52814978" w14:textId="77777777" w:rsidR="00707992" w:rsidRPr="00B562A4" w:rsidRDefault="00707992" w:rsidP="00707992">
            <w:pPr>
              <w:spacing w:before="120"/>
              <w:jc w:val="both"/>
              <w:rPr>
                <w:rFonts w:ascii="Cambria" w:eastAsia="Times New Roman" w:hAnsi="Cambria" w:cs="Times New Roman"/>
                <w:sz w:val="24"/>
                <w:szCs w:val="24"/>
                <w:lang w:eastAsia="sl-SI"/>
                <w14:ligatures w14:val="none"/>
              </w:rPr>
            </w:pPr>
            <w:r w:rsidRPr="00B562A4">
              <w:rPr>
                <w:rFonts w:ascii="Cambria" w:eastAsia="Times New Roman" w:hAnsi="Cambria" w:cs="Times New Roman"/>
                <w:sz w:val="24"/>
                <w:szCs w:val="24"/>
                <w:lang w:eastAsia="sl-SI"/>
                <w14:ligatures w14:val="none"/>
              </w:rPr>
              <w:t>globina vode ali gladina vode, kar je ustrezno;</w:t>
            </w:r>
          </w:p>
        </w:tc>
      </w:tr>
    </w:tbl>
    <w:p w14:paraId="3D44643E" w14:textId="77777777" w:rsidR="00707992" w:rsidRPr="00B562A4" w:rsidRDefault="00707992" w:rsidP="00707992">
      <w:pPr>
        <w:shd w:val="clear" w:color="auto" w:fill="FFFFFF"/>
        <w:rPr>
          <w:rFonts w:ascii="Cambria" w:eastAsia="Times New Roman" w:hAnsi="Cambria" w:cs="Times New Roman"/>
          <w:vanish/>
          <w:color w:val="000000"/>
          <w:sz w:val="24"/>
          <w:szCs w:val="24"/>
          <w:lang w:eastAsia="sl-SI"/>
          <w14:ligatures w14:val="none"/>
        </w:rPr>
      </w:pPr>
    </w:p>
    <w:tbl>
      <w:tblPr>
        <w:tblW w:w="5000" w:type="pct"/>
        <w:tblCellMar>
          <w:left w:w="0" w:type="dxa"/>
          <w:right w:w="0" w:type="dxa"/>
        </w:tblCellMar>
        <w:tblLook w:val="04A0" w:firstRow="1" w:lastRow="0" w:firstColumn="1" w:lastColumn="0" w:noHBand="0" w:noVBand="1"/>
      </w:tblPr>
      <w:tblGrid>
        <w:gridCol w:w="434"/>
        <w:gridCol w:w="8638"/>
      </w:tblGrid>
      <w:tr w:rsidR="00707992" w:rsidRPr="00B562A4" w14:paraId="2D085FA1" w14:textId="77777777">
        <w:tc>
          <w:tcPr>
            <w:tcW w:w="0" w:type="auto"/>
            <w:hideMark/>
          </w:tcPr>
          <w:p w14:paraId="03C6767E" w14:textId="77777777" w:rsidR="00707992" w:rsidRPr="00B562A4" w:rsidRDefault="00707992" w:rsidP="00707992">
            <w:pPr>
              <w:spacing w:before="120"/>
              <w:jc w:val="both"/>
              <w:rPr>
                <w:rFonts w:ascii="Cambria" w:eastAsia="Times New Roman" w:hAnsi="Cambria" w:cs="Times New Roman"/>
                <w:sz w:val="24"/>
                <w:szCs w:val="24"/>
                <w:lang w:eastAsia="sl-SI"/>
                <w14:ligatures w14:val="none"/>
              </w:rPr>
            </w:pPr>
            <w:r w:rsidRPr="00B562A4">
              <w:rPr>
                <w:rFonts w:ascii="Cambria" w:eastAsia="Times New Roman" w:hAnsi="Cambria" w:cs="Times New Roman"/>
                <w:sz w:val="24"/>
                <w:szCs w:val="24"/>
                <w:lang w:eastAsia="sl-SI"/>
                <w14:ligatures w14:val="none"/>
              </w:rPr>
              <w:t>(c)</w:t>
            </w:r>
          </w:p>
        </w:tc>
        <w:tc>
          <w:tcPr>
            <w:tcW w:w="0" w:type="auto"/>
            <w:hideMark/>
          </w:tcPr>
          <w:p w14:paraId="6FBC7CB0" w14:textId="77777777" w:rsidR="00707992" w:rsidRPr="00B562A4" w:rsidRDefault="00707992" w:rsidP="00707992">
            <w:pPr>
              <w:spacing w:before="120"/>
              <w:jc w:val="both"/>
              <w:rPr>
                <w:rFonts w:ascii="Cambria" w:eastAsia="Times New Roman" w:hAnsi="Cambria" w:cs="Times New Roman"/>
                <w:sz w:val="24"/>
                <w:szCs w:val="24"/>
                <w:lang w:eastAsia="sl-SI"/>
                <w14:ligatures w14:val="none"/>
              </w:rPr>
            </w:pPr>
            <w:r w:rsidRPr="00B562A4">
              <w:rPr>
                <w:rFonts w:ascii="Cambria" w:eastAsia="Times New Roman" w:hAnsi="Cambria" w:cs="Times New Roman"/>
                <w:sz w:val="24"/>
                <w:szCs w:val="24"/>
                <w:lang w:eastAsia="sl-SI"/>
                <w14:ligatures w14:val="none"/>
              </w:rPr>
              <w:t>kjer je to primerno, hitrost toka ali ustrezni pretok vode.</w:t>
            </w:r>
          </w:p>
        </w:tc>
      </w:tr>
    </w:tbl>
    <w:p w14:paraId="1111A23E" w14:textId="76B72670" w:rsidR="00707992" w:rsidRPr="00B562A4" w:rsidRDefault="00707992" w:rsidP="00707992">
      <w:pPr>
        <w:shd w:val="clear" w:color="auto" w:fill="FFFFFF"/>
        <w:spacing w:before="120"/>
        <w:jc w:val="both"/>
        <w:rPr>
          <w:rFonts w:ascii="Cambria" w:eastAsia="Times New Roman" w:hAnsi="Cambria" w:cs="Times New Roman"/>
          <w:color w:val="000000"/>
          <w:sz w:val="24"/>
          <w:szCs w:val="24"/>
          <w:lang w:eastAsia="sl-SI"/>
          <w14:ligatures w14:val="none"/>
        </w:rPr>
      </w:pPr>
      <w:r w:rsidRPr="00B562A4">
        <w:rPr>
          <w:rFonts w:ascii="Cambria" w:eastAsia="Times New Roman" w:hAnsi="Cambria" w:cs="Times New Roman"/>
          <w:color w:val="000000"/>
          <w:sz w:val="24"/>
          <w:szCs w:val="24"/>
          <w:lang w:eastAsia="sl-SI"/>
          <w14:ligatures w14:val="none"/>
        </w:rPr>
        <w:t xml:space="preserve"> 5.   Karte </w:t>
      </w:r>
      <w:r w:rsidRPr="00B562A4">
        <w:rPr>
          <w:rFonts w:ascii="Cambria" w:eastAsia="Times New Roman" w:hAnsi="Cambria" w:cs="Times New Roman"/>
          <w:color w:val="000000"/>
          <w:sz w:val="24"/>
          <w:szCs w:val="24"/>
          <w:highlight w:val="yellow"/>
          <w:lang w:eastAsia="sl-SI"/>
          <w14:ligatures w14:val="none"/>
        </w:rPr>
        <w:t>poplavne ogroženosti</w:t>
      </w:r>
      <w:r w:rsidRPr="00B562A4">
        <w:rPr>
          <w:rFonts w:ascii="Cambria" w:eastAsia="Times New Roman" w:hAnsi="Cambria" w:cs="Times New Roman"/>
          <w:color w:val="000000"/>
          <w:sz w:val="24"/>
          <w:szCs w:val="24"/>
          <w:lang w:eastAsia="sl-SI"/>
          <w14:ligatures w14:val="none"/>
        </w:rPr>
        <w:t xml:space="preserve"> prikazujejo morebitne škodljive posledice, povezane z vrstami poplav iz odstavka 3, ki se jih opiše z naslednjimi kazalci:</w:t>
      </w:r>
    </w:p>
    <w:tbl>
      <w:tblPr>
        <w:tblW w:w="5000" w:type="pct"/>
        <w:shd w:val="clear" w:color="auto" w:fill="FFFFFF"/>
        <w:tblCellMar>
          <w:left w:w="0" w:type="dxa"/>
          <w:right w:w="0" w:type="dxa"/>
        </w:tblCellMar>
        <w:tblLook w:val="04A0" w:firstRow="1" w:lastRow="0" w:firstColumn="1" w:lastColumn="0" w:noHBand="0" w:noVBand="1"/>
      </w:tblPr>
      <w:tblGrid>
        <w:gridCol w:w="410"/>
        <w:gridCol w:w="8662"/>
      </w:tblGrid>
      <w:tr w:rsidR="00707992" w:rsidRPr="00B562A4" w14:paraId="3549764A" w14:textId="77777777">
        <w:tc>
          <w:tcPr>
            <w:tcW w:w="0" w:type="auto"/>
            <w:shd w:val="clear" w:color="auto" w:fill="FFFFFF"/>
            <w:hideMark/>
          </w:tcPr>
          <w:p w14:paraId="6C89E4BC" w14:textId="77777777" w:rsidR="00707992" w:rsidRPr="00B562A4" w:rsidRDefault="00707992" w:rsidP="00707992">
            <w:pPr>
              <w:spacing w:before="120"/>
              <w:jc w:val="both"/>
              <w:rPr>
                <w:rFonts w:ascii="Cambria" w:eastAsia="Times New Roman" w:hAnsi="Cambria" w:cs="Times New Roman"/>
                <w:color w:val="000000"/>
                <w:sz w:val="24"/>
                <w:szCs w:val="24"/>
                <w:lang w:eastAsia="sl-SI"/>
                <w14:ligatures w14:val="none"/>
              </w:rPr>
            </w:pPr>
            <w:r w:rsidRPr="00B562A4">
              <w:rPr>
                <w:rFonts w:ascii="Cambria" w:eastAsia="Times New Roman" w:hAnsi="Cambria" w:cs="Times New Roman"/>
                <w:color w:val="000000"/>
                <w:sz w:val="24"/>
                <w:szCs w:val="24"/>
                <w:lang w:eastAsia="sl-SI"/>
                <w14:ligatures w14:val="none"/>
              </w:rPr>
              <w:t>(a)</w:t>
            </w:r>
          </w:p>
        </w:tc>
        <w:tc>
          <w:tcPr>
            <w:tcW w:w="0" w:type="auto"/>
            <w:shd w:val="clear" w:color="auto" w:fill="FFFFFF"/>
            <w:hideMark/>
          </w:tcPr>
          <w:p w14:paraId="0118F3B1" w14:textId="77777777" w:rsidR="00707992" w:rsidRPr="00B562A4" w:rsidRDefault="00707992" w:rsidP="00707992">
            <w:pPr>
              <w:spacing w:before="120"/>
              <w:jc w:val="both"/>
              <w:rPr>
                <w:rFonts w:ascii="Cambria" w:eastAsia="Times New Roman" w:hAnsi="Cambria" w:cs="Times New Roman"/>
                <w:color w:val="000000"/>
                <w:sz w:val="24"/>
                <w:szCs w:val="24"/>
                <w:lang w:eastAsia="sl-SI"/>
                <w14:ligatures w14:val="none"/>
              </w:rPr>
            </w:pPr>
            <w:r w:rsidRPr="00B562A4">
              <w:rPr>
                <w:rFonts w:ascii="Cambria" w:eastAsia="Times New Roman" w:hAnsi="Cambria" w:cs="Times New Roman"/>
                <w:color w:val="000000"/>
                <w:sz w:val="24"/>
                <w:szCs w:val="24"/>
                <w:lang w:eastAsia="sl-SI"/>
                <w14:ligatures w14:val="none"/>
              </w:rPr>
              <w:t>okvirnim številom prebivalcev, ki jih lahko prizadene poplava;</w:t>
            </w:r>
          </w:p>
        </w:tc>
      </w:tr>
    </w:tbl>
    <w:p w14:paraId="5E4BB612" w14:textId="77777777" w:rsidR="00707992" w:rsidRPr="00B562A4" w:rsidRDefault="00707992" w:rsidP="00707992">
      <w:pPr>
        <w:rPr>
          <w:rFonts w:ascii="Cambria" w:eastAsia="Times New Roman" w:hAnsi="Cambria" w:cs="Times New Roman"/>
          <w:vanish/>
          <w:sz w:val="24"/>
          <w:szCs w:val="24"/>
          <w:lang w:eastAsia="sl-SI"/>
          <w14:ligatures w14:val="none"/>
        </w:rPr>
      </w:pPr>
    </w:p>
    <w:tbl>
      <w:tblPr>
        <w:tblW w:w="5000" w:type="pct"/>
        <w:shd w:val="clear" w:color="auto" w:fill="FFFFFF"/>
        <w:tblCellMar>
          <w:left w:w="0" w:type="dxa"/>
          <w:right w:w="0" w:type="dxa"/>
        </w:tblCellMar>
        <w:tblLook w:val="04A0" w:firstRow="1" w:lastRow="0" w:firstColumn="1" w:lastColumn="0" w:noHBand="0" w:noVBand="1"/>
      </w:tblPr>
      <w:tblGrid>
        <w:gridCol w:w="351"/>
        <w:gridCol w:w="8721"/>
      </w:tblGrid>
      <w:tr w:rsidR="00707992" w:rsidRPr="00B562A4" w14:paraId="57CAA8A7" w14:textId="77777777">
        <w:tc>
          <w:tcPr>
            <w:tcW w:w="0" w:type="auto"/>
            <w:shd w:val="clear" w:color="auto" w:fill="FFFFFF"/>
            <w:hideMark/>
          </w:tcPr>
          <w:p w14:paraId="1994B6EE" w14:textId="77777777" w:rsidR="00707992" w:rsidRPr="00B562A4" w:rsidRDefault="00707992" w:rsidP="00707992">
            <w:pPr>
              <w:spacing w:before="120"/>
              <w:jc w:val="both"/>
              <w:rPr>
                <w:rFonts w:ascii="Cambria" w:eastAsia="Times New Roman" w:hAnsi="Cambria" w:cs="Times New Roman"/>
                <w:color w:val="000000"/>
                <w:sz w:val="24"/>
                <w:szCs w:val="24"/>
                <w:lang w:eastAsia="sl-SI"/>
                <w14:ligatures w14:val="none"/>
              </w:rPr>
            </w:pPr>
            <w:r w:rsidRPr="00B562A4">
              <w:rPr>
                <w:rFonts w:ascii="Cambria" w:eastAsia="Times New Roman" w:hAnsi="Cambria" w:cs="Times New Roman"/>
                <w:color w:val="000000"/>
                <w:sz w:val="24"/>
                <w:szCs w:val="24"/>
                <w:lang w:eastAsia="sl-SI"/>
                <w14:ligatures w14:val="none"/>
              </w:rPr>
              <w:t>(b)</w:t>
            </w:r>
          </w:p>
        </w:tc>
        <w:tc>
          <w:tcPr>
            <w:tcW w:w="0" w:type="auto"/>
            <w:shd w:val="clear" w:color="auto" w:fill="FFFFFF"/>
            <w:hideMark/>
          </w:tcPr>
          <w:p w14:paraId="793A9748" w14:textId="77777777" w:rsidR="00707992" w:rsidRPr="00B562A4" w:rsidRDefault="00707992" w:rsidP="00707992">
            <w:pPr>
              <w:spacing w:before="120"/>
              <w:jc w:val="both"/>
              <w:rPr>
                <w:rFonts w:ascii="Cambria" w:eastAsia="Times New Roman" w:hAnsi="Cambria" w:cs="Times New Roman"/>
                <w:color w:val="000000"/>
                <w:sz w:val="24"/>
                <w:szCs w:val="24"/>
                <w:lang w:eastAsia="sl-SI"/>
                <w14:ligatures w14:val="none"/>
              </w:rPr>
            </w:pPr>
            <w:r w:rsidRPr="00B562A4">
              <w:rPr>
                <w:rFonts w:ascii="Cambria" w:eastAsia="Times New Roman" w:hAnsi="Cambria" w:cs="Times New Roman"/>
                <w:color w:val="000000"/>
                <w:sz w:val="24"/>
                <w:szCs w:val="24"/>
                <w:lang w:eastAsia="sl-SI"/>
                <w14:ligatures w14:val="none"/>
              </w:rPr>
              <w:t>vrstami gospodarskih dejavnosti na območju, ki jih lahko prizadene poplava;</w:t>
            </w:r>
          </w:p>
        </w:tc>
      </w:tr>
    </w:tbl>
    <w:p w14:paraId="14B5067B" w14:textId="77777777" w:rsidR="00707992" w:rsidRPr="00B562A4" w:rsidRDefault="00707992" w:rsidP="00707992">
      <w:pPr>
        <w:rPr>
          <w:rFonts w:ascii="Cambria" w:eastAsia="Times New Roman" w:hAnsi="Cambria" w:cs="Times New Roman"/>
          <w:vanish/>
          <w:sz w:val="24"/>
          <w:szCs w:val="24"/>
          <w:lang w:eastAsia="sl-SI"/>
          <w14:ligatures w14:val="none"/>
        </w:rPr>
      </w:pPr>
    </w:p>
    <w:tbl>
      <w:tblPr>
        <w:tblW w:w="5000" w:type="pct"/>
        <w:shd w:val="clear" w:color="auto" w:fill="FFFFFF"/>
        <w:tblCellMar>
          <w:left w:w="0" w:type="dxa"/>
          <w:right w:w="0" w:type="dxa"/>
        </w:tblCellMar>
        <w:tblLook w:val="04A0" w:firstRow="1" w:lastRow="0" w:firstColumn="1" w:lastColumn="0" w:noHBand="0" w:noVBand="1"/>
      </w:tblPr>
      <w:tblGrid>
        <w:gridCol w:w="290"/>
        <w:gridCol w:w="8782"/>
      </w:tblGrid>
      <w:tr w:rsidR="00707992" w:rsidRPr="00B562A4" w14:paraId="75BEA751" w14:textId="77777777">
        <w:tc>
          <w:tcPr>
            <w:tcW w:w="0" w:type="auto"/>
            <w:shd w:val="clear" w:color="auto" w:fill="FFFFFF"/>
            <w:hideMark/>
          </w:tcPr>
          <w:p w14:paraId="7FC6612A" w14:textId="77777777" w:rsidR="00707992" w:rsidRPr="00B562A4" w:rsidRDefault="00707992" w:rsidP="00707992">
            <w:pPr>
              <w:spacing w:before="120"/>
              <w:jc w:val="both"/>
              <w:rPr>
                <w:rFonts w:ascii="Cambria" w:eastAsia="Times New Roman" w:hAnsi="Cambria" w:cs="Times New Roman"/>
                <w:color w:val="000000"/>
                <w:sz w:val="24"/>
                <w:szCs w:val="24"/>
                <w:lang w:eastAsia="sl-SI"/>
                <w14:ligatures w14:val="none"/>
              </w:rPr>
            </w:pPr>
            <w:r w:rsidRPr="00B562A4">
              <w:rPr>
                <w:rFonts w:ascii="Cambria" w:eastAsia="Times New Roman" w:hAnsi="Cambria" w:cs="Times New Roman"/>
                <w:color w:val="000000"/>
                <w:sz w:val="24"/>
                <w:szCs w:val="24"/>
                <w:lang w:eastAsia="sl-SI"/>
                <w14:ligatures w14:val="none"/>
              </w:rPr>
              <w:t>(c)</w:t>
            </w:r>
          </w:p>
        </w:tc>
        <w:tc>
          <w:tcPr>
            <w:tcW w:w="0" w:type="auto"/>
            <w:shd w:val="clear" w:color="auto" w:fill="FFFFFF"/>
            <w:hideMark/>
          </w:tcPr>
          <w:p w14:paraId="788A8935" w14:textId="77777777" w:rsidR="00707992" w:rsidRPr="00B562A4" w:rsidRDefault="00707992" w:rsidP="00707992">
            <w:pPr>
              <w:spacing w:before="120"/>
              <w:jc w:val="both"/>
              <w:rPr>
                <w:rFonts w:ascii="Cambria" w:eastAsia="Times New Roman" w:hAnsi="Cambria" w:cs="Times New Roman"/>
                <w:color w:val="000000"/>
                <w:sz w:val="24"/>
                <w:szCs w:val="24"/>
                <w:lang w:eastAsia="sl-SI"/>
                <w14:ligatures w14:val="none"/>
              </w:rPr>
            </w:pPr>
            <w:r w:rsidRPr="00B562A4">
              <w:rPr>
                <w:rFonts w:ascii="Cambria" w:eastAsia="Times New Roman" w:hAnsi="Cambria" w:cs="Times New Roman"/>
                <w:color w:val="000000"/>
                <w:sz w:val="24"/>
                <w:szCs w:val="24"/>
                <w:lang w:eastAsia="sl-SI"/>
                <w14:ligatures w14:val="none"/>
              </w:rPr>
              <w:t xml:space="preserve">obrati iz Priloge I Direktive Sveta 96/61/ES z dne 24. septembra 1996 </w:t>
            </w:r>
            <w:r w:rsidRPr="00B562A4">
              <w:rPr>
                <w:rFonts w:ascii="Cambria" w:eastAsia="Times New Roman" w:hAnsi="Cambria" w:cs="Times New Roman"/>
                <w:color w:val="000000"/>
                <w:sz w:val="24"/>
                <w:szCs w:val="24"/>
                <w:highlight w:val="yellow"/>
                <w:lang w:eastAsia="sl-SI"/>
                <w14:ligatures w14:val="none"/>
              </w:rPr>
              <w:t>o celovitem preprečevanju in nadzorovanju onesnaževanja</w:t>
            </w:r>
            <w:r w:rsidRPr="00B562A4">
              <w:rPr>
                <w:rFonts w:ascii="Cambria" w:eastAsia="Times New Roman" w:hAnsi="Cambria" w:cs="Times New Roman"/>
                <w:color w:val="000000"/>
                <w:sz w:val="24"/>
                <w:szCs w:val="24"/>
                <w:lang w:eastAsia="sl-SI"/>
                <w14:ligatures w14:val="none"/>
              </w:rPr>
              <w:t> </w:t>
            </w:r>
            <w:hyperlink r:id="rId42" w:anchor="ntr9-L_2007288SL.01002701-E0009" w:history="1">
              <w:r w:rsidRPr="00B562A4">
                <w:rPr>
                  <w:rFonts w:ascii="Cambria" w:eastAsia="Times New Roman" w:hAnsi="Cambria" w:cs="Times New Roman"/>
                  <w:color w:val="0E47CB"/>
                  <w:sz w:val="24"/>
                  <w:szCs w:val="24"/>
                  <w:u w:val="single"/>
                  <w:lang w:eastAsia="sl-SI"/>
                  <w14:ligatures w14:val="none"/>
                </w:rPr>
                <w:t>(</w:t>
              </w:r>
              <w:r w:rsidRPr="00B562A4">
                <w:rPr>
                  <w:rFonts w:ascii="Cambria" w:eastAsia="Times New Roman" w:hAnsi="Cambria" w:cs="Times New Roman"/>
                  <w:color w:val="0E47CB"/>
                  <w:sz w:val="17"/>
                  <w:szCs w:val="17"/>
                  <w:vertAlign w:val="superscript"/>
                  <w:lang w:eastAsia="sl-SI"/>
                  <w14:ligatures w14:val="none"/>
                </w:rPr>
                <w:t>9</w:t>
              </w:r>
              <w:r w:rsidRPr="00B562A4">
                <w:rPr>
                  <w:rFonts w:ascii="Cambria" w:eastAsia="Times New Roman" w:hAnsi="Cambria" w:cs="Times New Roman"/>
                  <w:color w:val="0E47CB"/>
                  <w:sz w:val="24"/>
                  <w:szCs w:val="24"/>
                  <w:u w:val="single"/>
                  <w:lang w:eastAsia="sl-SI"/>
                  <w14:ligatures w14:val="none"/>
                </w:rPr>
                <w:t>)</w:t>
              </w:r>
            </w:hyperlink>
            <w:r w:rsidRPr="00B562A4">
              <w:rPr>
                <w:rFonts w:ascii="Cambria" w:eastAsia="Times New Roman" w:hAnsi="Cambria" w:cs="Times New Roman"/>
                <w:color w:val="000000"/>
                <w:sz w:val="24"/>
                <w:szCs w:val="24"/>
                <w:lang w:eastAsia="sl-SI"/>
                <w14:ligatures w14:val="none"/>
              </w:rPr>
              <w:t xml:space="preserve">, ki lahko v primeru poplav </w:t>
            </w:r>
            <w:r w:rsidRPr="00B562A4">
              <w:rPr>
                <w:rFonts w:ascii="Cambria" w:eastAsia="Times New Roman" w:hAnsi="Cambria" w:cs="Times New Roman"/>
                <w:color w:val="000000"/>
                <w:sz w:val="24"/>
                <w:szCs w:val="24"/>
                <w:lang w:eastAsia="sl-SI"/>
                <w14:ligatures w14:val="none"/>
              </w:rPr>
              <w:lastRenderedPageBreak/>
              <w:t>povzročijo nenamerno onesnaženje, in zavarovana območja iz Priloge IV(1)(i), (iii) in (v) Direktive 2000/60/ES, ki jih lahko prizadene poplava;</w:t>
            </w:r>
          </w:p>
        </w:tc>
      </w:tr>
    </w:tbl>
    <w:p w14:paraId="2E25D260" w14:textId="77777777" w:rsidR="00707992" w:rsidRPr="00B562A4" w:rsidRDefault="00707992" w:rsidP="00707992">
      <w:pPr>
        <w:rPr>
          <w:rFonts w:ascii="Cambria" w:eastAsia="Times New Roman" w:hAnsi="Cambria" w:cs="Times New Roman"/>
          <w:vanish/>
          <w:sz w:val="24"/>
          <w:szCs w:val="24"/>
          <w:lang w:eastAsia="sl-SI"/>
          <w14:ligatures w14:val="none"/>
        </w:rPr>
      </w:pPr>
    </w:p>
    <w:tbl>
      <w:tblPr>
        <w:tblW w:w="5000" w:type="pct"/>
        <w:shd w:val="clear" w:color="auto" w:fill="FFFFFF"/>
        <w:tblCellMar>
          <w:left w:w="0" w:type="dxa"/>
          <w:right w:w="0" w:type="dxa"/>
        </w:tblCellMar>
        <w:tblLook w:val="04A0" w:firstRow="1" w:lastRow="0" w:firstColumn="1" w:lastColumn="0" w:noHBand="0" w:noVBand="1"/>
      </w:tblPr>
      <w:tblGrid>
        <w:gridCol w:w="317"/>
        <w:gridCol w:w="8755"/>
      </w:tblGrid>
      <w:tr w:rsidR="00707992" w:rsidRPr="00B562A4" w14:paraId="343920C6" w14:textId="77777777">
        <w:tc>
          <w:tcPr>
            <w:tcW w:w="0" w:type="auto"/>
            <w:shd w:val="clear" w:color="auto" w:fill="FFFFFF"/>
            <w:hideMark/>
          </w:tcPr>
          <w:p w14:paraId="7C0481C4" w14:textId="77777777" w:rsidR="00707992" w:rsidRPr="00B562A4" w:rsidRDefault="00707992" w:rsidP="00707992">
            <w:pPr>
              <w:spacing w:before="120"/>
              <w:jc w:val="both"/>
              <w:rPr>
                <w:rFonts w:ascii="Cambria" w:eastAsia="Times New Roman" w:hAnsi="Cambria" w:cs="Times New Roman"/>
                <w:color w:val="000000"/>
                <w:sz w:val="24"/>
                <w:szCs w:val="24"/>
                <w:lang w:eastAsia="sl-SI"/>
                <w14:ligatures w14:val="none"/>
              </w:rPr>
            </w:pPr>
            <w:r w:rsidRPr="00B562A4">
              <w:rPr>
                <w:rFonts w:ascii="Cambria" w:eastAsia="Times New Roman" w:hAnsi="Cambria" w:cs="Times New Roman"/>
                <w:color w:val="000000"/>
                <w:sz w:val="24"/>
                <w:szCs w:val="24"/>
                <w:lang w:eastAsia="sl-SI"/>
                <w14:ligatures w14:val="none"/>
              </w:rPr>
              <w:t>(d)</w:t>
            </w:r>
          </w:p>
        </w:tc>
        <w:tc>
          <w:tcPr>
            <w:tcW w:w="0" w:type="auto"/>
            <w:shd w:val="clear" w:color="auto" w:fill="FFFFFF"/>
            <w:hideMark/>
          </w:tcPr>
          <w:p w14:paraId="53F334B0" w14:textId="77777777" w:rsidR="00707992" w:rsidRPr="00B562A4" w:rsidRDefault="00707992" w:rsidP="00707992">
            <w:pPr>
              <w:spacing w:before="120"/>
              <w:jc w:val="both"/>
              <w:rPr>
                <w:rFonts w:ascii="Cambria" w:eastAsia="Times New Roman" w:hAnsi="Cambria" w:cs="Times New Roman"/>
                <w:color w:val="000000"/>
                <w:sz w:val="24"/>
                <w:szCs w:val="24"/>
                <w:lang w:eastAsia="sl-SI"/>
                <w14:ligatures w14:val="none"/>
              </w:rPr>
            </w:pPr>
            <w:r w:rsidRPr="00B562A4">
              <w:rPr>
                <w:rFonts w:ascii="Cambria" w:eastAsia="Times New Roman" w:hAnsi="Cambria" w:cs="Times New Roman"/>
                <w:color w:val="000000"/>
                <w:sz w:val="24"/>
                <w:szCs w:val="24"/>
                <w:lang w:eastAsia="sl-SI"/>
                <w14:ligatures w14:val="none"/>
              </w:rPr>
              <w:t>drugimi podatki, za katere države članice menijo, da so koristni, kot na primer navedba območij, kjer lahko pride do poplav z visoko vsebnostjo toka sedimenta ali naplavin, in podatki o drugih večjih virih onesnaževanja.</w:t>
            </w:r>
          </w:p>
        </w:tc>
      </w:tr>
    </w:tbl>
    <w:p w14:paraId="5899E2DE" w14:textId="77777777" w:rsidR="00707992" w:rsidRPr="00B562A4" w:rsidRDefault="00707992" w:rsidP="00707992">
      <w:pPr>
        <w:pStyle w:val="oj-ti-section-1"/>
        <w:shd w:val="clear" w:color="auto" w:fill="FFFFFF"/>
        <w:spacing w:before="480" w:beforeAutospacing="0" w:after="0" w:afterAutospacing="0"/>
        <w:jc w:val="center"/>
        <w:rPr>
          <w:rFonts w:ascii="Cambria" w:hAnsi="Cambria"/>
          <w:b/>
          <w:bCs/>
          <w:color w:val="000000"/>
        </w:rPr>
      </w:pPr>
      <w:r w:rsidRPr="00B562A4">
        <w:rPr>
          <w:rFonts w:ascii="Cambria" w:hAnsi="Cambria"/>
          <w:b/>
          <w:bCs/>
          <w:color w:val="000000"/>
        </w:rPr>
        <w:t>POGLAVJE IV</w:t>
      </w:r>
    </w:p>
    <w:p w14:paraId="22A147A0" w14:textId="77777777" w:rsidR="00707992" w:rsidRPr="00B562A4" w:rsidRDefault="00707992" w:rsidP="00707992">
      <w:pPr>
        <w:pStyle w:val="oj-ti-section-2"/>
        <w:shd w:val="clear" w:color="auto" w:fill="FFFFFF"/>
        <w:spacing w:before="75" w:beforeAutospacing="0" w:after="120" w:afterAutospacing="0"/>
        <w:jc w:val="center"/>
        <w:rPr>
          <w:rFonts w:ascii="Cambria" w:hAnsi="Cambria"/>
          <w:b/>
          <w:bCs/>
          <w:color w:val="000000"/>
        </w:rPr>
      </w:pPr>
      <w:r w:rsidRPr="00B562A4">
        <w:rPr>
          <w:rFonts w:ascii="Cambria" w:hAnsi="Cambria"/>
          <w:b/>
          <w:bCs/>
          <w:color w:val="000000"/>
        </w:rPr>
        <w:t>NAČRTI ZA OBVLADOVANJE POPLAVNE OGROŽENOSTI</w:t>
      </w:r>
    </w:p>
    <w:p w14:paraId="20458AF6" w14:textId="77777777" w:rsidR="00707992" w:rsidRPr="00B562A4" w:rsidRDefault="00707992" w:rsidP="00707992">
      <w:pPr>
        <w:pStyle w:val="oj-ti-art"/>
        <w:shd w:val="clear" w:color="auto" w:fill="FFFFFF"/>
        <w:spacing w:before="360" w:beforeAutospacing="0" w:after="120" w:afterAutospacing="0"/>
        <w:jc w:val="center"/>
        <w:rPr>
          <w:rFonts w:ascii="Cambria" w:hAnsi="Cambria"/>
          <w:i/>
          <w:iCs/>
          <w:color w:val="000000"/>
        </w:rPr>
      </w:pPr>
      <w:r w:rsidRPr="00B562A4">
        <w:rPr>
          <w:rFonts w:ascii="Cambria" w:hAnsi="Cambria"/>
          <w:i/>
          <w:iCs/>
          <w:color w:val="000000"/>
        </w:rPr>
        <w:t>Člen 7</w:t>
      </w:r>
    </w:p>
    <w:p w14:paraId="26F0BDEF" w14:textId="77777777" w:rsidR="00707992" w:rsidRPr="00B562A4" w:rsidRDefault="00707992" w:rsidP="00707992">
      <w:pPr>
        <w:pStyle w:val="oj-normal"/>
        <w:shd w:val="clear" w:color="auto" w:fill="FFFFFF"/>
        <w:spacing w:before="120" w:beforeAutospacing="0" w:after="0" w:afterAutospacing="0"/>
        <w:jc w:val="both"/>
        <w:rPr>
          <w:rFonts w:ascii="Cambria" w:hAnsi="Cambria"/>
          <w:color w:val="000000"/>
        </w:rPr>
      </w:pPr>
      <w:r w:rsidRPr="00B562A4">
        <w:rPr>
          <w:rFonts w:ascii="Cambria" w:hAnsi="Cambria"/>
          <w:color w:val="000000"/>
        </w:rPr>
        <w:t>1.   Na podlagi kart iz člena 6 države članice v skladu z odstavkoma 2 in 3 tega člena oblikujejo načrte za obvladovanje poplavne ogroženosti, usklajene na ravni vodnega območja ali območja upravljanja iz člena 3(2)(b), za območja, določena v členu 5(1), in območja iz člena 13(1)(b).</w:t>
      </w:r>
    </w:p>
    <w:p w14:paraId="7CB346FF" w14:textId="77777777" w:rsidR="00707992" w:rsidRPr="00B562A4" w:rsidRDefault="00707992" w:rsidP="00707992">
      <w:pPr>
        <w:pStyle w:val="oj-normal"/>
        <w:shd w:val="clear" w:color="auto" w:fill="FFFFFF"/>
        <w:spacing w:before="120" w:beforeAutospacing="0" w:after="0" w:afterAutospacing="0"/>
        <w:jc w:val="both"/>
        <w:rPr>
          <w:rFonts w:ascii="Cambria" w:hAnsi="Cambria"/>
          <w:color w:val="000000"/>
        </w:rPr>
      </w:pPr>
      <w:r w:rsidRPr="00B562A4">
        <w:rPr>
          <w:rFonts w:ascii="Cambria" w:hAnsi="Cambria"/>
          <w:color w:val="000000"/>
        </w:rPr>
        <w:t>2.   Države članice določijo ustrezne cilje za obvladovanje poplavne ogroženosti na območjih, določenih na podlagi člena 5(1), in območjih iz člena 13(1)(b) s poudarkom na zmanjšanju morebitnih škodljivih posledic poplav za zdravje ljudi, okolje, kulturno dediščino in gospodarske dejavnosti ter, če je to primerno, s poudarkom na ne gradbenih ukrepih in/ali na ukrepih za zmanjšanje verjetnosti nastopa poplavljanja.</w:t>
      </w:r>
    </w:p>
    <w:p w14:paraId="04B7A84A" w14:textId="77777777" w:rsidR="00707992" w:rsidRPr="00B562A4" w:rsidRDefault="00707992" w:rsidP="00707992">
      <w:pPr>
        <w:pStyle w:val="oj-normal"/>
        <w:shd w:val="clear" w:color="auto" w:fill="FFFFFF"/>
        <w:spacing w:before="120" w:beforeAutospacing="0" w:after="0" w:afterAutospacing="0"/>
        <w:jc w:val="both"/>
        <w:rPr>
          <w:rFonts w:ascii="Cambria" w:hAnsi="Cambria"/>
          <w:color w:val="000000"/>
        </w:rPr>
      </w:pPr>
      <w:r w:rsidRPr="00B562A4">
        <w:rPr>
          <w:rFonts w:ascii="Cambria" w:hAnsi="Cambria"/>
          <w:color w:val="000000"/>
        </w:rPr>
        <w:t>3.   Načrti za obvladovanje poplavne ogroženosti vključujejo ukrepe za uresničevanje ciljev iz odstavka 2 in vključujejo elemente iz dela A Priloge.</w:t>
      </w:r>
    </w:p>
    <w:p w14:paraId="14BFD7E8" w14:textId="77777777" w:rsidR="00707992" w:rsidRPr="00B562A4" w:rsidRDefault="00707992" w:rsidP="00707992">
      <w:pPr>
        <w:pStyle w:val="oj-normal"/>
        <w:shd w:val="clear" w:color="auto" w:fill="FFFFFF"/>
        <w:spacing w:before="120" w:beforeAutospacing="0" w:after="0" w:afterAutospacing="0"/>
        <w:jc w:val="both"/>
        <w:rPr>
          <w:rFonts w:ascii="Cambria" w:hAnsi="Cambria"/>
          <w:color w:val="000000"/>
        </w:rPr>
      </w:pPr>
      <w:r w:rsidRPr="00B562A4">
        <w:rPr>
          <w:rFonts w:ascii="Cambria" w:hAnsi="Cambria"/>
          <w:color w:val="000000"/>
        </w:rPr>
        <w:t>Načrti za obvladovanje poplavne ogroženosti morajo upoštevati tudi vidike, kot so stroški in koristi, obseg poplav ter odtočne poti poplavnih voda in območja, kjer bi se poplavne vode lahko zadržale, kot so naravna poplavna območja, okoljske cilje iz člena 4 Direktive 2000/60/ES, upravljanje tal in voda, prostorsko načrtovanje, rabo tal, ohranjanje narave ter plovbo in pristaniško infrastrukturo.</w:t>
      </w:r>
    </w:p>
    <w:p w14:paraId="1ECA9B87" w14:textId="77777777" w:rsidR="00707992" w:rsidRPr="00B562A4" w:rsidRDefault="00707992" w:rsidP="00707992">
      <w:pPr>
        <w:pStyle w:val="oj-normal"/>
        <w:shd w:val="clear" w:color="auto" w:fill="FFFFFF"/>
        <w:spacing w:before="120" w:beforeAutospacing="0" w:after="0" w:afterAutospacing="0"/>
        <w:jc w:val="both"/>
        <w:rPr>
          <w:rFonts w:ascii="Cambria" w:hAnsi="Cambria"/>
          <w:color w:val="000000"/>
        </w:rPr>
      </w:pPr>
      <w:r w:rsidRPr="00B562A4">
        <w:rPr>
          <w:rFonts w:ascii="Cambria" w:hAnsi="Cambria"/>
          <w:color w:val="000000"/>
        </w:rPr>
        <w:t>V načrtih za obvladovanje poplavne ogroženosti morajo biti obravnavani vsi vidiki obvladovanja poplavne ogroženosti, s poudarkom na preprečevanju, varstvu, pripravljenosti, vključno z napovedovanjem poplav in sistemi za zgodnje opozarjanje, in upoštevajo se značilnosti posameznega povodja ali porečja. Načrti za obvladovanje poplavne ogroženosti lahko vključujejo tudi spodbujanje praks trajnostne rabe tal, izboljšanje zadrževanja vode ter nadzorovano poplavljanje nekaterih območij v primeru poplavnega dogodka.</w:t>
      </w:r>
    </w:p>
    <w:p w14:paraId="5DBD3F04" w14:textId="77777777" w:rsidR="00707992" w:rsidRPr="00B562A4" w:rsidRDefault="00707992" w:rsidP="00707992">
      <w:pPr>
        <w:pStyle w:val="oj-normal"/>
        <w:shd w:val="clear" w:color="auto" w:fill="FFFFFF"/>
        <w:spacing w:before="120" w:beforeAutospacing="0" w:after="0" w:afterAutospacing="0"/>
        <w:jc w:val="both"/>
        <w:rPr>
          <w:rFonts w:ascii="Cambria" w:hAnsi="Cambria"/>
          <w:color w:val="000000"/>
        </w:rPr>
      </w:pPr>
      <w:r w:rsidRPr="00B562A4">
        <w:rPr>
          <w:rFonts w:ascii="Cambria" w:hAnsi="Cambria"/>
          <w:color w:val="000000"/>
        </w:rPr>
        <w:t>4.   Načrti za obvladovanje poplavne ogroženosti, pripravljeni v eni državi članici, zaradi solidarnosti ne smejo vsebovati ukrepov, ki po obsegu in vplivu znatno povečujejo poplavno ogroženost gorvodno ali dolvodno v drugih državah v istem povodju ali porečju, razen če so ti ukrepi usklajeni in so zadevne države našle skupno rešitev v okviru člena 8.</w:t>
      </w:r>
    </w:p>
    <w:p w14:paraId="40276667" w14:textId="77777777" w:rsidR="00707992" w:rsidRPr="00B562A4" w:rsidRDefault="00707992" w:rsidP="00707992">
      <w:pPr>
        <w:pStyle w:val="oj-normal"/>
        <w:shd w:val="clear" w:color="auto" w:fill="FFFFFF"/>
        <w:spacing w:before="120" w:beforeAutospacing="0" w:after="0" w:afterAutospacing="0"/>
        <w:jc w:val="both"/>
        <w:rPr>
          <w:rFonts w:ascii="Cambria" w:hAnsi="Cambria"/>
          <w:color w:val="000000"/>
        </w:rPr>
      </w:pPr>
      <w:r w:rsidRPr="00B562A4">
        <w:rPr>
          <w:rFonts w:ascii="Cambria" w:hAnsi="Cambria"/>
          <w:color w:val="000000"/>
        </w:rPr>
        <w:t>5.   Države članice zagotovijo, da so načrti za obvladovanje poplavne ogroženosti dokončani in objavljeni do 22. decembra 2015.</w:t>
      </w:r>
    </w:p>
    <w:p w14:paraId="3FC7C817" w14:textId="77777777" w:rsidR="00707992" w:rsidRPr="00B562A4" w:rsidRDefault="00707992" w:rsidP="00707992">
      <w:pPr>
        <w:shd w:val="clear" w:color="auto" w:fill="FFFFFF"/>
        <w:spacing w:before="480"/>
        <w:jc w:val="center"/>
        <w:rPr>
          <w:rFonts w:ascii="Cambria" w:eastAsia="Times New Roman" w:hAnsi="Cambria" w:cs="Times New Roman"/>
          <w:b/>
          <w:bCs/>
          <w:color w:val="000000"/>
          <w:sz w:val="24"/>
          <w:szCs w:val="24"/>
          <w:lang w:eastAsia="sl-SI"/>
          <w14:ligatures w14:val="none"/>
        </w:rPr>
      </w:pPr>
      <w:r w:rsidRPr="00B562A4">
        <w:rPr>
          <w:rFonts w:ascii="Cambria" w:eastAsia="Times New Roman" w:hAnsi="Cambria" w:cs="Times New Roman"/>
          <w:b/>
          <w:bCs/>
          <w:color w:val="000000"/>
          <w:sz w:val="24"/>
          <w:szCs w:val="24"/>
          <w:lang w:eastAsia="sl-SI"/>
          <w14:ligatures w14:val="none"/>
        </w:rPr>
        <w:t>POGLAVJE V</w:t>
      </w:r>
    </w:p>
    <w:p w14:paraId="6E53F7CA" w14:textId="77777777" w:rsidR="00707992" w:rsidRPr="00B562A4" w:rsidRDefault="00707992" w:rsidP="00707992">
      <w:pPr>
        <w:shd w:val="clear" w:color="auto" w:fill="FFFFFF"/>
        <w:spacing w:before="75" w:after="120"/>
        <w:jc w:val="center"/>
        <w:rPr>
          <w:rFonts w:ascii="Cambria" w:eastAsia="Times New Roman" w:hAnsi="Cambria" w:cs="Times New Roman"/>
          <w:b/>
          <w:bCs/>
          <w:color w:val="000000"/>
          <w:sz w:val="24"/>
          <w:szCs w:val="24"/>
          <w:lang w:eastAsia="sl-SI"/>
          <w14:ligatures w14:val="none"/>
        </w:rPr>
      </w:pPr>
      <w:r w:rsidRPr="00B562A4">
        <w:rPr>
          <w:rFonts w:ascii="Cambria" w:eastAsia="Times New Roman" w:hAnsi="Cambria" w:cs="Times New Roman"/>
          <w:b/>
          <w:bCs/>
          <w:color w:val="000000"/>
          <w:sz w:val="24"/>
          <w:szCs w:val="24"/>
          <w:lang w:eastAsia="sl-SI"/>
          <w14:ligatures w14:val="none"/>
        </w:rPr>
        <w:t>USKLAJEVANJE Z DIREKTIVO 2000/60/ES, OBVEŠČANJE JAVNOSTIIN JAVNO POSVETOVANJE</w:t>
      </w:r>
    </w:p>
    <w:p w14:paraId="2655EDA1" w14:textId="77777777" w:rsidR="00707992" w:rsidRPr="00B562A4" w:rsidRDefault="00707992" w:rsidP="00707992">
      <w:pPr>
        <w:shd w:val="clear" w:color="auto" w:fill="FFFFFF"/>
        <w:spacing w:before="360" w:after="120"/>
        <w:jc w:val="center"/>
        <w:rPr>
          <w:rFonts w:ascii="Cambria" w:eastAsia="Times New Roman" w:hAnsi="Cambria" w:cs="Times New Roman"/>
          <w:i/>
          <w:iCs/>
          <w:color w:val="000000"/>
          <w:sz w:val="24"/>
          <w:szCs w:val="24"/>
          <w:lang w:eastAsia="sl-SI"/>
          <w14:ligatures w14:val="none"/>
        </w:rPr>
      </w:pPr>
      <w:r w:rsidRPr="00B562A4">
        <w:rPr>
          <w:rFonts w:ascii="Cambria" w:eastAsia="Times New Roman" w:hAnsi="Cambria" w:cs="Times New Roman"/>
          <w:i/>
          <w:iCs/>
          <w:color w:val="000000"/>
          <w:sz w:val="24"/>
          <w:szCs w:val="24"/>
          <w:lang w:eastAsia="sl-SI"/>
          <w14:ligatures w14:val="none"/>
        </w:rPr>
        <w:lastRenderedPageBreak/>
        <w:t>Člen 9</w:t>
      </w:r>
    </w:p>
    <w:p w14:paraId="498A0D08" w14:textId="77777777" w:rsidR="00707992" w:rsidRPr="00B562A4" w:rsidRDefault="00707992" w:rsidP="00707992">
      <w:pPr>
        <w:shd w:val="clear" w:color="auto" w:fill="FFFFFF"/>
        <w:spacing w:before="120"/>
        <w:jc w:val="both"/>
        <w:rPr>
          <w:rFonts w:ascii="Cambria" w:eastAsia="Times New Roman" w:hAnsi="Cambria" w:cs="Times New Roman"/>
          <w:color w:val="000000"/>
          <w:sz w:val="24"/>
          <w:szCs w:val="24"/>
          <w:lang w:eastAsia="sl-SI"/>
          <w14:ligatures w14:val="none"/>
        </w:rPr>
      </w:pPr>
      <w:r w:rsidRPr="00B562A4">
        <w:rPr>
          <w:rFonts w:ascii="Cambria" w:eastAsia="Times New Roman" w:hAnsi="Cambria" w:cs="Times New Roman"/>
          <w:color w:val="000000"/>
          <w:sz w:val="24"/>
          <w:szCs w:val="24"/>
          <w:lang w:eastAsia="sl-SI"/>
          <w14:ligatures w14:val="none"/>
        </w:rPr>
        <w:t>Države članice sprejmejo ustrezne ukrepe za usklajeno uporabo te direktive in Direktive 2000/60/ES s poudarkom na možnostih za večjo učinkovitost in boljšo izmenjavo podatkov ter za medsebojno dopolnjevanje in korist ob upoštevanju okoljskih ciljev iz člena 4 Direktive 2000/60/ES. Zlasti pa:</w:t>
      </w:r>
    </w:p>
    <w:tbl>
      <w:tblPr>
        <w:tblW w:w="5000" w:type="pct"/>
        <w:tblCellMar>
          <w:left w:w="0" w:type="dxa"/>
          <w:right w:w="0" w:type="dxa"/>
        </w:tblCellMar>
        <w:tblLook w:val="04A0" w:firstRow="1" w:lastRow="0" w:firstColumn="1" w:lastColumn="0" w:noHBand="0" w:noVBand="1"/>
      </w:tblPr>
      <w:tblGrid>
        <w:gridCol w:w="183"/>
        <w:gridCol w:w="8889"/>
      </w:tblGrid>
      <w:tr w:rsidR="00707992" w:rsidRPr="00B562A4" w14:paraId="6E2AEB35" w14:textId="77777777">
        <w:tc>
          <w:tcPr>
            <w:tcW w:w="0" w:type="auto"/>
            <w:hideMark/>
          </w:tcPr>
          <w:p w14:paraId="5022DA0D" w14:textId="77777777" w:rsidR="00707992" w:rsidRPr="00B562A4" w:rsidRDefault="00707992" w:rsidP="00707992">
            <w:pPr>
              <w:spacing w:before="120"/>
              <w:jc w:val="both"/>
              <w:rPr>
                <w:rFonts w:ascii="Cambria" w:eastAsia="Times New Roman" w:hAnsi="Cambria" w:cs="Times New Roman"/>
                <w:sz w:val="24"/>
                <w:szCs w:val="24"/>
                <w:lang w:eastAsia="sl-SI"/>
                <w14:ligatures w14:val="none"/>
              </w:rPr>
            </w:pPr>
            <w:r w:rsidRPr="00B562A4">
              <w:rPr>
                <w:rFonts w:ascii="Cambria" w:eastAsia="Times New Roman" w:hAnsi="Cambria" w:cs="Times New Roman"/>
                <w:sz w:val="24"/>
                <w:szCs w:val="24"/>
                <w:lang w:eastAsia="sl-SI"/>
                <w14:ligatures w14:val="none"/>
              </w:rPr>
              <w:t>1.</w:t>
            </w:r>
          </w:p>
        </w:tc>
        <w:tc>
          <w:tcPr>
            <w:tcW w:w="0" w:type="auto"/>
            <w:hideMark/>
          </w:tcPr>
          <w:p w14:paraId="6413FF02" w14:textId="77777777" w:rsidR="00707992" w:rsidRPr="00B562A4" w:rsidRDefault="00707992" w:rsidP="00707992">
            <w:pPr>
              <w:spacing w:before="120"/>
              <w:jc w:val="both"/>
              <w:rPr>
                <w:rFonts w:ascii="Cambria" w:eastAsia="Times New Roman" w:hAnsi="Cambria" w:cs="Times New Roman"/>
                <w:sz w:val="24"/>
                <w:szCs w:val="24"/>
                <w:lang w:eastAsia="sl-SI"/>
                <w14:ligatures w14:val="none"/>
              </w:rPr>
            </w:pPr>
            <w:r w:rsidRPr="00B562A4">
              <w:rPr>
                <w:rFonts w:ascii="Cambria" w:eastAsia="Times New Roman" w:hAnsi="Cambria" w:cs="Times New Roman"/>
                <w:sz w:val="24"/>
                <w:szCs w:val="24"/>
                <w:lang w:eastAsia="sl-SI"/>
                <w14:ligatures w14:val="none"/>
              </w:rPr>
              <w:t>priprava prvih kart poplavne nevarnosti in poplavne ogroženosti ter njihovi nadaljnji pregledi iz členov 6 in 14 te direktive potekajo tako, da so informacije, ki jih vsebujejo, skladne z ustreznimi informacijami, predloženimi v skladu z Direktivo 2000/60/ES. Karte se usklajujejo in se lahko vključijo v preglede iz člena 5(2) Direktive 2000/60/ES;</w:t>
            </w:r>
          </w:p>
        </w:tc>
      </w:tr>
    </w:tbl>
    <w:p w14:paraId="7F8E3747" w14:textId="77777777" w:rsidR="00707992" w:rsidRPr="00B562A4" w:rsidRDefault="00707992" w:rsidP="00707992">
      <w:pPr>
        <w:shd w:val="clear" w:color="auto" w:fill="FFFFFF"/>
        <w:rPr>
          <w:rFonts w:ascii="Cambria" w:eastAsia="Times New Roman" w:hAnsi="Cambria" w:cs="Times New Roman"/>
          <w:vanish/>
          <w:color w:val="000000"/>
          <w:sz w:val="24"/>
          <w:szCs w:val="24"/>
          <w:lang w:eastAsia="sl-SI"/>
          <w14:ligatures w14:val="none"/>
        </w:rPr>
      </w:pPr>
    </w:p>
    <w:tbl>
      <w:tblPr>
        <w:tblW w:w="5000" w:type="pct"/>
        <w:tblCellMar>
          <w:left w:w="0" w:type="dxa"/>
          <w:right w:w="0" w:type="dxa"/>
        </w:tblCellMar>
        <w:tblLook w:val="04A0" w:firstRow="1" w:lastRow="0" w:firstColumn="1" w:lastColumn="0" w:noHBand="0" w:noVBand="1"/>
      </w:tblPr>
      <w:tblGrid>
        <w:gridCol w:w="183"/>
        <w:gridCol w:w="8889"/>
      </w:tblGrid>
      <w:tr w:rsidR="00707992" w:rsidRPr="00B562A4" w14:paraId="695F3B84" w14:textId="77777777">
        <w:tc>
          <w:tcPr>
            <w:tcW w:w="0" w:type="auto"/>
            <w:hideMark/>
          </w:tcPr>
          <w:p w14:paraId="0DEB95B5" w14:textId="77777777" w:rsidR="00707992" w:rsidRPr="00B562A4" w:rsidRDefault="00707992" w:rsidP="00707992">
            <w:pPr>
              <w:spacing w:before="120"/>
              <w:jc w:val="both"/>
              <w:rPr>
                <w:rFonts w:ascii="Cambria" w:eastAsia="Times New Roman" w:hAnsi="Cambria" w:cs="Times New Roman"/>
                <w:sz w:val="24"/>
                <w:szCs w:val="24"/>
                <w:lang w:eastAsia="sl-SI"/>
                <w14:ligatures w14:val="none"/>
              </w:rPr>
            </w:pPr>
            <w:r w:rsidRPr="00B562A4">
              <w:rPr>
                <w:rFonts w:ascii="Cambria" w:eastAsia="Times New Roman" w:hAnsi="Cambria" w:cs="Times New Roman"/>
                <w:sz w:val="24"/>
                <w:szCs w:val="24"/>
                <w:lang w:eastAsia="sl-SI"/>
                <w14:ligatures w14:val="none"/>
              </w:rPr>
              <w:t>2.</w:t>
            </w:r>
          </w:p>
        </w:tc>
        <w:tc>
          <w:tcPr>
            <w:tcW w:w="0" w:type="auto"/>
            <w:hideMark/>
          </w:tcPr>
          <w:p w14:paraId="21DAFE6C" w14:textId="77777777" w:rsidR="00707992" w:rsidRPr="00B562A4" w:rsidRDefault="00707992" w:rsidP="00707992">
            <w:pPr>
              <w:spacing w:before="120"/>
              <w:jc w:val="both"/>
              <w:rPr>
                <w:rFonts w:ascii="Cambria" w:eastAsia="Times New Roman" w:hAnsi="Cambria" w:cs="Times New Roman"/>
                <w:sz w:val="24"/>
                <w:szCs w:val="24"/>
                <w:lang w:eastAsia="sl-SI"/>
                <w14:ligatures w14:val="none"/>
              </w:rPr>
            </w:pPr>
            <w:r w:rsidRPr="00B562A4">
              <w:rPr>
                <w:rFonts w:ascii="Cambria" w:eastAsia="Times New Roman" w:hAnsi="Cambria" w:cs="Times New Roman"/>
                <w:sz w:val="24"/>
                <w:szCs w:val="24"/>
                <w:lang w:eastAsia="sl-SI"/>
                <w14:ligatures w14:val="none"/>
              </w:rPr>
              <w:t>priprava prvih načrtov za obvladovanje poplavne ogroženosti in njihovi nadaljnji pregledi iz členov 7 in 14 te direktive potekajo usklajeno s pregledi načrtov upravljanja povodij iz člena 13(7) Direktive 2000/60/ES in so lahko vanje tudi vključeni;</w:t>
            </w:r>
          </w:p>
        </w:tc>
      </w:tr>
    </w:tbl>
    <w:p w14:paraId="057B1F55" w14:textId="77777777" w:rsidR="00707992" w:rsidRPr="00B562A4" w:rsidRDefault="00707992" w:rsidP="00707992">
      <w:pPr>
        <w:shd w:val="clear" w:color="auto" w:fill="FFFFFF"/>
        <w:rPr>
          <w:rFonts w:ascii="Cambria" w:eastAsia="Times New Roman" w:hAnsi="Cambria" w:cs="Times New Roman"/>
          <w:vanish/>
          <w:color w:val="000000"/>
          <w:sz w:val="24"/>
          <w:szCs w:val="24"/>
          <w:lang w:eastAsia="sl-SI"/>
          <w14:ligatures w14:val="none"/>
        </w:rPr>
      </w:pPr>
    </w:p>
    <w:tbl>
      <w:tblPr>
        <w:tblW w:w="5000" w:type="pct"/>
        <w:tblCellMar>
          <w:left w:w="0" w:type="dxa"/>
          <w:right w:w="0" w:type="dxa"/>
        </w:tblCellMar>
        <w:tblLook w:val="04A0" w:firstRow="1" w:lastRow="0" w:firstColumn="1" w:lastColumn="0" w:noHBand="0" w:noVBand="1"/>
      </w:tblPr>
      <w:tblGrid>
        <w:gridCol w:w="183"/>
        <w:gridCol w:w="8889"/>
      </w:tblGrid>
      <w:tr w:rsidR="00707992" w:rsidRPr="00B562A4" w14:paraId="71D8EEE6" w14:textId="77777777">
        <w:tc>
          <w:tcPr>
            <w:tcW w:w="0" w:type="auto"/>
            <w:hideMark/>
          </w:tcPr>
          <w:p w14:paraId="5F6DB454" w14:textId="77777777" w:rsidR="00707992" w:rsidRPr="00B562A4" w:rsidRDefault="00707992" w:rsidP="00707992">
            <w:pPr>
              <w:spacing w:before="120"/>
              <w:jc w:val="both"/>
              <w:rPr>
                <w:rFonts w:ascii="Cambria" w:eastAsia="Times New Roman" w:hAnsi="Cambria" w:cs="Times New Roman"/>
                <w:sz w:val="24"/>
                <w:szCs w:val="24"/>
                <w:lang w:eastAsia="sl-SI"/>
                <w14:ligatures w14:val="none"/>
              </w:rPr>
            </w:pPr>
            <w:r w:rsidRPr="00B562A4">
              <w:rPr>
                <w:rFonts w:ascii="Cambria" w:eastAsia="Times New Roman" w:hAnsi="Cambria" w:cs="Times New Roman"/>
                <w:sz w:val="24"/>
                <w:szCs w:val="24"/>
                <w:lang w:eastAsia="sl-SI"/>
                <w14:ligatures w14:val="none"/>
              </w:rPr>
              <w:t>3.</w:t>
            </w:r>
          </w:p>
        </w:tc>
        <w:tc>
          <w:tcPr>
            <w:tcW w:w="0" w:type="auto"/>
            <w:hideMark/>
          </w:tcPr>
          <w:p w14:paraId="0EABDA0D" w14:textId="77777777" w:rsidR="00707992" w:rsidRPr="00B562A4" w:rsidRDefault="00707992" w:rsidP="00707992">
            <w:pPr>
              <w:spacing w:before="120"/>
              <w:jc w:val="both"/>
              <w:rPr>
                <w:rFonts w:ascii="Cambria" w:eastAsia="Times New Roman" w:hAnsi="Cambria" w:cs="Times New Roman"/>
                <w:sz w:val="24"/>
                <w:szCs w:val="24"/>
                <w:lang w:eastAsia="sl-SI"/>
                <w14:ligatures w14:val="none"/>
              </w:rPr>
            </w:pPr>
            <w:r w:rsidRPr="00B562A4">
              <w:rPr>
                <w:rFonts w:ascii="Cambria" w:eastAsia="Times New Roman" w:hAnsi="Cambria" w:cs="Times New Roman"/>
                <w:sz w:val="24"/>
                <w:szCs w:val="24"/>
                <w:lang w:eastAsia="sl-SI"/>
                <w14:ligatures w14:val="none"/>
              </w:rPr>
              <w:t>dejavno vključevanje vseh zainteresiranih strani iz člena 10 te direktive je treba po potrebi uskladiti z dejavnim vključevanjem zainteresiranih strani iz člena 14 Direktive 2000/60/ES.</w:t>
            </w:r>
          </w:p>
        </w:tc>
      </w:tr>
    </w:tbl>
    <w:p w14:paraId="2A51E704" w14:textId="77777777" w:rsidR="00707992" w:rsidRPr="00B562A4" w:rsidRDefault="00707992" w:rsidP="00707992">
      <w:pPr>
        <w:shd w:val="clear" w:color="auto" w:fill="FFFFFF"/>
        <w:spacing w:before="360" w:after="120"/>
        <w:jc w:val="center"/>
        <w:rPr>
          <w:rFonts w:ascii="Cambria" w:eastAsia="Times New Roman" w:hAnsi="Cambria" w:cs="Times New Roman"/>
          <w:i/>
          <w:iCs/>
          <w:color w:val="000000"/>
          <w:sz w:val="24"/>
          <w:szCs w:val="24"/>
          <w:lang w:eastAsia="sl-SI"/>
          <w14:ligatures w14:val="none"/>
        </w:rPr>
      </w:pPr>
      <w:r w:rsidRPr="00B562A4">
        <w:rPr>
          <w:rFonts w:ascii="Cambria" w:eastAsia="Times New Roman" w:hAnsi="Cambria" w:cs="Times New Roman"/>
          <w:i/>
          <w:iCs/>
          <w:color w:val="000000"/>
          <w:sz w:val="24"/>
          <w:szCs w:val="24"/>
          <w:lang w:eastAsia="sl-SI"/>
          <w14:ligatures w14:val="none"/>
        </w:rPr>
        <w:t>Člen 10</w:t>
      </w:r>
    </w:p>
    <w:p w14:paraId="231848DD" w14:textId="77777777" w:rsidR="00707992" w:rsidRPr="00B562A4" w:rsidRDefault="00707992" w:rsidP="00707992">
      <w:pPr>
        <w:shd w:val="clear" w:color="auto" w:fill="FFFFFF"/>
        <w:spacing w:before="120"/>
        <w:jc w:val="both"/>
        <w:rPr>
          <w:rFonts w:ascii="Cambria" w:eastAsia="Times New Roman" w:hAnsi="Cambria" w:cs="Times New Roman"/>
          <w:color w:val="000000"/>
          <w:sz w:val="24"/>
          <w:szCs w:val="24"/>
          <w:lang w:eastAsia="sl-SI"/>
          <w14:ligatures w14:val="none"/>
        </w:rPr>
      </w:pPr>
      <w:r w:rsidRPr="00B562A4">
        <w:rPr>
          <w:rFonts w:ascii="Cambria" w:eastAsia="Times New Roman" w:hAnsi="Cambria" w:cs="Times New Roman"/>
          <w:color w:val="000000"/>
          <w:sz w:val="24"/>
          <w:szCs w:val="24"/>
          <w:lang w:eastAsia="sl-SI"/>
          <w14:ligatures w14:val="none"/>
        </w:rPr>
        <w:t>1.   V skladu z veljavno zakonodajo Skupnosti države članice zagotovijo, da so predhodna ocena poplavne ogroženosti, karte poplavne nevarnosti, karte poplavne ogroženosti in načrti za obvladovanje poplavne ogroženosti dostopni javnosti.</w:t>
      </w:r>
    </w:p>
    <w:p w14:paraId="75B019E7" w14:textId="77777777" w:rsidR="00707992" w:rsidRPr="00B562A4" w:rsidRDefault="00707992" w:rsidP="00707992">
      <w:pPr>
        <w:shd w:val="clear" w:color="auto" w:fill="FFFFFF"/>
        <w:spacing w:before="120"/>
        <w:jc w:val="both"/>
        <w:rPr>
          <w:rFonts w:ascii="Cambria" w:eastAsia="Times New Roman" w:hAnsi="Cambria" w:cs="Times New Roman"/>
          <w:color w:val="000000"/>
          <w:sz w:val="24"/>
          <w:szCs w:val="24"/>
          <w:lang w:eastAsia="sl-SI"/>
          <w14:ligatures w14:val="none"/>
        </w:rPr>
      </w:pPr>
      <w:r w:rsidRPr="00B562A4">
        <w:rPr>
          <w:rFonts w:ascii="Cambria" w:eastAsia="Times New Roman" w:hAnsi="Cambria" w:cs="Times New Roman"/>
          <w:color w:val="000000"/>
          <w:sz w:val="24"/>
          <w:szCs w:val="24"/>
          <w:lang w:eastAsia="sl-SI"/>
          <w14:ligatures w14:val="none"/>
        </w:rPr>
        <w:t>2.   Države članice spodbujajo dejavno vključevanje zainteresiranih strani pri izdelavi, pregledovanju in posodabljanju načrtov za obvladovanje poplavne ogroženosti iz poglavja IV.</w:t>
      </w:r>
    </w:p>
    <w:p w14:paraId="2BAAB6D8" w14:textId="2F4DC663" w:rsidR="00707992" w:rsidRPr="00B562A4" w:rsidRDefault="00707992" w:rsidP="00E7314D">
      <w:pPr>
        <w:pStyle w:val="Heading4"/>
        <w:shd w:val="clear" w:color="auto" w:fill="FFFFFF"/>
        <w:spacing w:before="240" w:after="192"/>
        <w:ind w:left="1416"/>
      </w:pPr>
      <w:r w:rsidRPr="00B562A4">
        <w:t>Itd.</w:t>
      </w:r>
    </w:p>
    <w:p w14:paraId="7A626E49" w14:textId="77777777" w:rsidR="00014776" w:rsidRPr="00B562A4" w:rsidRDefault="00014776" w:rsidP="00014776">
      <w:pPr>
        <w:ind w:left="1416"/>
        <w:rPr>
          <w:rFonts w:ascii="Cambria" w:hAnsi="Cambria"/>
        </w:rPr>
      </w:pPr>
    </w:p>
    <w:bookmarkEnd w:id="0"/>
    <w:p w14:paraId="2D2DE320" w14:textId="77777777" w:rsidR="00014776" w:rsidRPr="00B562A4" w:rsidRDefault="00014776" w:rsidP="00014776">
      <w:pPr>
        <w:ind w:left="1416"/>
        <w:rPr>
          <w:rFonts w:ascii="Cambria" w:hAnsi="Cambria"/>
        </w:rPr>
      </w:pPr>
    </w:p>
    <w:p w14:paraId="7B29974B" w14:textId="77777777" w:rsidR="007809B2" w:rsidRPr="00B562A4" w:rsidRDefault="007809B2">
      <w:pPr>
        <w:rPr>
          <w:rFonts w:ascii="Cambria" w:hAnsi="Cambria"/>
        </w:rPr>
      </w:pPr>
    </w:p>
    <w:sectPr w:rsidR="007809B2" w:rsidRPr="00B562A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Open Sans">
    <w:panose1 w:val="020B0606030504020204"/>
    <w:charset w:val="00"/>
    <w:family w:val="auto"/>
    <w:pitch w:val="variable"/>
    <w:sig w:usb0="E00002FF" w:usb1="4000201B" w:usb2="00000028"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1622CA"/>
    <w:multiLevelType w:val="multilevel"/>
    <w:tmpl w:val="CC0429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02957280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4776"/>
    <w:rsid w:val="00014776"/>
    <w:rsid w:val="003A5C1F"/>
    <w:rsid w:val="004926F5"/>
    <w:rsid w:val="006753D1"/>
    <w:rsid w:val="00707992"/>
    <w:rsid w:val="007809B2"/>
    <w:rsid w:val="00B562A4"/>
    <w:rsid w:val="00C91A5C"/>
    <w:rsid w:val="00E7314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909EE6"/>
  <w15:chartTrackingRefBased/>
  <w15:docId w15:val="{8E72EFB1-2418-4A6C-A268-5972C595A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sl-SI"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4776"/>
    <w:pPr>
      <w:spacing w:after="0" w:line="240" w:lineRule="auto"/>
    </w:pPr>
    <w:rPr>
      <w:rFonts w:ascii="Calibri" w:hAnsi="Calibri" w:cs="Calibri"/>
      <w:kern w:val="0"/>
    </w:rPr>
  </w:style>
  <w:style w:type="paragraph" w:styleId="Heading3">
    <w:name w:val="heading 3"/>
    <w:basedOn w:val="Normal"/>
    <w:link w:val="Heading3Char"/>
    <w:uiPriority w:val="9"/>
    <w:semiHidden/>
    <w:unhideWhenUsed/>
    <w:qFormat/>
    <w:rsid w:val="00014776"/>
    <w:pPr>
      <w:spacing w:before="100" w:beforeAutospacing="1" w:after="100" w:afterAutospacing="1"/>
      <w:outlineLvl w:val="2"/>
    </w:pPr>
    <w:rPr>
      <w:b/>
      <w:bCs/>
      <w:sz w:val="27"/>
      <w:szCs w:val="27"/>
      <w:lang w:eastAsia="sl-SI"/>
      <w14:ligatures w14:val="none"/>
    </w:rPr>
  </w:style>
  <w:style w:type="paragraph" w:styleId="Heading4">
    <w:name w:val="heading 4"/>
    <w:basedOn w:val="Normal"/>
    <w:link w:val="Heading4Char"/>
    <w:uiPriority w:val="9"/>
    <w:unhideWhenUsed/>
    <w:qFormat/>
    <w:rsid w:val="00014776"/>
    <w:pPr>
      <w:keepNext/>
      <w:spacing w:before="40"/>
      <w:outlineLvl w:val="3"/>
    </w:pPr>
    <w:rPr>
      <w:rFonts w:ascii="Cambria" w:hAnsi="Cambria"/>
      <w:i/>
      <w:iCs/>
      <w:color w:val="365F9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014776"/>
    <w:rPr>
      <w:rFonts w:ascii="Calibri" w:hAnsi="Calibri" w:cs="Calibri"/>
      <w:b/>
      <w:bCs/>
      <w:kern w:val="0"/>
      <w:sz w:val="27"/>
      <w:szCs w:val="27"/>
      <w:lang w:eastAsia="sl-SI"/>
      <w14:ligatures w14:val="none"/>
    </w:rPr>
  </w:style>
  <w:style w:type="character" w:customStyle="1" w:styleId="Heading4Char">
    <w:name w:val="Heading 4 Char"/>
    <w:basedOn w:val="DefaultParagraphFont"/>
    <w:link w:val="Heading4"/>
    <w:uiPriority w:val="9"/>
    <w:rsid w:val="00014776"/>
    <w:rPr>
      <w:rFonts w:ascii="Cambria" w:hAnsi="Cambria" w:cs="Calibri"/>
      <w:i/>
      <w:iCs/>
      <w:color w:val="365F91"/>
      <w:kern w:val="0"/>
    </w:rPr>
  </w:style>
  <w:style w:type="character" w:styleId="Hyperlink">
    <w:name w:val="Hyperlink"/>
    <w:basedOn w:val="DefaultParagraphFont"/>
    <w:uiPriority w:val="99"/>
    <w:unhideWhenUsed/>
    <w:rsid w:val="00014776"/>
    <w:rPr>
      <w:color w:val="0000FF"/>
      <w:u w:val="single"/>
    </w:rPr>
  </w:style>
  <w:style w:type="paragraph" w:styleId="NormalWeb">
    <w:name w:val="Normal (Web)"/>
    <w:basedOn w:val="Normal"/>
    <w:uiPriority w:val="99"/>
    <w:semiHidden/>
    <w:unhideWhenUsed/>
    <w:rsid w:val="00014776"/>
    <w:pPr>
      <w:spacing w:before="100" w:beforeAutospacing="1" w:after="100" w:afterAutospacing="1"/>
    </w:pPr>
    <w:rPr>
      <w:lang w:eastAsia="sl-SI"/>
      <w14:ligatures w14:val="none"/>
    </w:rPr>
  </w:style>
  <w:style w:type="paragraph" w:styleId="ListParagraph">
    <w:name w:val="List Paragraph"/>
    <w:basedOn w:val="Normal"/>
    <w:uiPriority w:val="34"/>
    <w:qFormat/>
    <w:rsid w:val="00014776"/>
    <w:pPr>
      <w:ind w:left="720"/>
    </w:pPr>
  </w:style>
  <w:style w:type="character" w:customStyle="1" w:styleId="eca-number-title">
    <w:name w:val="eca-number-title"/>
    <w:basedOn w:val="DefaultParagraphFont"/>
    <w:rsid w:val="00014776"/>
  </w:style>
  <w:style w:type="character" w:styleId="Emphasis">
    <w:name w:val="Emphasis"/>
    <w:basedOn w:val="DefaultParagraphFont"/>
    <w:uiPriority w:val="20"/>
    <w:qFormat/>
    <w:rsid w:val="00014776"/>
    <w:rPr>
      <w:i/>
      <w:iCs/>
    </w:rPr>
  </w:style>
  <w:style w:type="character" w:styleId="Strong">
    <w:name w:val="Strong"/>
    <w:basedOn w:val="DefaultParagraphFont"/>
    <w:uiPriority w:val="22"/>
    <w:qFormat/>
    <w:rsid w:val="00014776"/>
    <w:rPr>
      <w:b/>
      <w:bCs/>
    </w:rPr>
  </w:style>
  <w:style w:type="character" w:styleId="FollowedHyperlink">
    <w:name w:val="FollowedHyperlink"/>
    <w:basedOn w:val="DefaultParagraphFont"/>
    <w:uiPriority w:val="99"/>
    <w:semiHidden/>
    <w:unhideWhenUsed/>
    <w:rsid w:val="00E7314D"/>
    <w:rPr>
      <w:color w:val="800080" w:themeColor="followedHyperlink"/>
      <w:u w:val="single"/>
    </w:rPr>
  </w:style>
  <w:style w:type="character" w:styleId="UnresolvedMention">
    <w:name w:val="Unresolved Mention"/>
    <w:basedOn w:val="DefaultParagraphFont"/>
    <w:uiPriority w:val="99"/>
    <w:semiHidden/>
    <w:unhideWhenUsed/>
    <w:rsid w:val="00707992"/>
    <w:rPr>
      <w:color w:val="605E5C"/>
      <w:shd w:val="clear" w:color="auto" w:fill="E1DFDD"/>
    </w:rPr>
  </w:style>
  <w:style w:type="paragraph" w:customStyle="1" w:styleId="oj-ti-section-1">
    <w:name w:val="oj-ti-section-1"/>
    <w:basedOn w:val="Normal"/>
    <w:rsid w:val="00707992"/>
    <w:pPr>
      <w:spacing w:before="100" w:beforeAutospacing="1" w:after="100" w:afterAutospacing="1"/>
    </w:pPr>
    <w:rPr>
      <w:rFonts w:ascii="Times New Roman" w:eastAsia="Times New Roman" w:hAnsi="Times New Roman" w:cs="Times New Roman"/>
      <w:sz w:val="24"/>
      <w:szCs w:val="24"/>
      <w:lang w:eastAsia="sl-SI"/>
      <w14:ligatures w14:val="none"/>
    </w:rPr>
  </w:style>
  <w:style w:type="paragraph" w:customStyle="1" w:styleId="oj-ti-section-2">
    <w:name w:val="oj-ti-section-2"/>
    <w:basedOn w:val="Normal"/>
    <w:rsid w:val="00707992"/>
    <w:pPr>
      <w:spacing w:before="100" w:beforeAutospacing="1" w:after="100" w:afterAutospacing="1"/>
    </w:pPr>
    <w:rPr>
      <w:rFonts w:ascii="Times New Roman" w:eastAsia="Times New Roman" w:hAnsi="Times New Roman" w:cs="Times New Roman"/>
      <w:sz w:val="24"/>
      <w:szCs w:val="24"/>
      <w:lang w:eastAsia="sl-SI"/>
      <w14:ligatures w14:val="none"/>
    </w:rPr>
  </w:style>
  <w:style w:type="paragraph" w:customStyle="1" w:styleId="oj-ti-art">
    <w:name w:val="oj-ti-art"/>
    <w:basedOn w:val="Normal"/>
    <w:rsid w:val="00707992"/>
    <w:pPr>
      <w:spacing w:before="100" w:beforeAutospacing="1" w:after="100" w:afterAutospacing="1"/>
    </w:pPr>
    <w:rPr>
      <w:rFonts w:ascii="Times New Roman" w:eastAsia="Times New Roman" w:hAnsi="Times New Roman" w:cs="Times New Roman"/>
      <w:sz w:val="24"/>
      <w:szCs w:val="24"/>
      <w:lang w:eastAsia="sl-SI"/>
      <w14:ligatures w14:val="none"/>
    </w:rPr>
  </w:style>
  <w:style w:type="paragraph" w:customStyle="1" w:styleId="oj-normal">
    <w:name w:val="oj-normal"/>
    <w:basedOn w:val="Normal"/>
    <w:rsid w:val="00707992"/>
    <w:pPr>
      <w:spacing w:before="100" w:beforeAutospacing="1" w:after="100" w:afterAutospacing="1"/>
    </w:pPr>
    <w:rPr>
      <w:rFonts w:ascii="Times New Roman" w:eastAsia="Times New Roman" w:hAnsi="Times New Roman" w:cs="Times New Roman"/>
      <w:sz w:val="24"/>
      <w:szCs w:val="24"/>
      <w:lang w:eastAsia="sl-SI"/>
      <w14:ligatures w14:val="none"/>
    </w:rPr>
  </w:style>
  <w:style w:type="paragraph" w:customStyle="1" w:styleId="oj-doc-ti">
    <w:name w:val="oj-doc-ti"/>
    <w:basedOn w:val="Normal"/>
    <w:rsid w:val="003A5C1F"/>
    <w:pPr>
      <w:spacing w:before="100" w:beforeAutospacing="1" w:after="100" w:afterAutospacing="1"/>
    </w:pPr>
    <w:rPr>
      <w:rFonts w:ascii="Times New Roman" w:eastAsia="Times New Roman" w:hAnsi="Times New Roman" w:cs="Times New Roman"/>
      <w:sz w:val="24"/>
      <w:szCs w:val="24"/>
      <w:lang w:eastAsia="sl-SI"/>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4101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p.europa.eu/webpub/eca/special-reports/floods-directive-25-2018/sl/" TargetMode="Externa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hyperlink" Target="https://eur-lex.europa.eu/legal-content/SL/TXT/HTML/?uri=CELEX:32007L0060" TargetMode="External"/><Relationship Id="rId7" Type="http://schemas.openxmlformats.org/officeDocument/2006/relationships/hyperlink" Target="https://op.europa.eu/webpub/eca/special-reports/floods-directive-25-2018/sl/" TargetMode="External"/><Relationship Id="rId2" Type="http://schemas.openxmlformats.org/officeDocument/2006/relationships/styles" Target="styles.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image" Target="media/image14.jpeg"/><Relationship Id="rId41" Type="http://schemas.openxmlformats.org/officeDocument/2006/relationships/hyperlink" Target="https://eur-lex.europa.eu/legal-content/SL/TXT/HTML/?uri=CELEX:32007L0060" TargetMode="External"/><Relationship Id="rId1" Type="http://schemas.openxmlformats.org/officeDocument/2006/relationships/numbering" Target="numbering.xml"/><Relationship Id="rId6" Type="http://schemas.openxmlformats.org/officeDocument/2006/relationships/hyperlink" Target="https://www.google.com/search?q=Direktiva+protipoplavna&amp;oq=Direktiva+protipoplavna&amp;aqs=chrome..69i57j33i160.242585765j0j15&amp;sourceid=chrome&amp;ie=UTF-8" TargetMode="External"/><Relationship Id="rId11" Type="http://schemas.openxmlformats.org/officeDocument/2006/relationships/hyperlink" Target="https://op.europa.eu/webpub/eca/special-reports/floods-directive-25-2018/sl/" TargetMode="Externa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hyperlink" Target="https://eur-lex.europa.eu/SL/legal-content/summary/flood-risk-management-in-the-eu.html" TargetMode="External"/><Relationship Id="rId5" Type="http://schemas.openxmlformats.org/officeDocument/2006/relationships/hyperlink" Target="http://gis.arso.gov.si/atlasokolja/profile.aspx?id=Atlas_Okolja_AXL@Arso" TargetMode="External"/><Relationship Id="rId15" Type="http://schemas.openxmlformats.org/officeDocument/2006/relationships/hyperlink" Target="https://op.europa.eu/webpub/eca/special-reports/floods-directive-25-2018/sl/" TargetMode="External"/><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image" Target="media/image21.jpeg"/><Relationship Id="rId10" Type="http://schemas.openxmlformats.org/officeDocument/2006/relationships/hyperlink" Target="https://op.europa.eu/webpub/eca/special-reports/floods-directive-25-2018/sl/" TargetMode="External"/><Relationship Id="rId19" Type="http://schemas.openxmlformats.org/officeDocument/2006/relationships/image" Target="media/image4.jpeg"/><Relationship Id="rId31" Type="http://schemas.openxmlformats.org/officeDocument/2006/relationships/image" Target="media/image16.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op.europa.eu/webpub/eca/special-reports/floods-directive-25-2018/sl/" TargetMode="External"/><Relationship Id="rId14" Type="http://schemas.openxmlformats.org/officeDocument/2006/relationships/hyperlink" Target="https://op.europa.eu/webpub/eca/special-reports/floods-directive-25-2018/sl/"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fontTable" Target="fontTable.xml"/><Relationship Id="rId8" Type="http://schemas.openxmlformats.org/officeDocument/2006/relationships/hyperlink" Target="https://op.europa.eu/webpub/eca/special-reports/floods-directive-25-2018/sl/" TargetMode="External"/><Relationship Id="rId3" Type="http://schemas.openxmlformats.org/officeDocument/2006/relationships/settings" Target="settings.xml"/><Relationship Id="rId12" Type="http://schemas.openxmlformats.org/officeDocument/2006/relationships/hyperlink" Target="https://op.europa.eu/webpub/eca/special-reports/floods-directive-25-2018/sl/" TargetMode="Externa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2676</Words>
  <Characters>15258</Characters>
  <Application>Microsoft Office Word</Application>
  <DocSecurity>0</DocSecurity>
  <Lines>127</Lines>
  <Paragraphs>35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17899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LIPNIK</dc:creator>
  <cp:keywords/>
  <dc:description/>
  <cp:lastModifiedBy>Goran lost</cp:lastModifiedBy>
  <cp:revision>2</cp:revision>
  <dcterms:created xsi:type="dcterms:W3CDTF">2026-01-29T08:57:00Z</dcterms:created>
  <dcterms:modified xsi:type="dcterms:W3CDTF">2026-01-29T08:57:00Z</dcterms:modified>
</cp:coreProperties>
</file>